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2717D1">
      <w:pPr>
        <w:pStyle w:val="Encabezado"/>
        <w:jc w:val="center"/>
        <w:rPr>
          <w:rFonts w:ascii="Edwardian Script ITC" w:hAnsi="Edwardian Script ITC" w:cs="Monotype Corsiva"/>
          <w:b/>
          <w:bCs/>
          <w:sz w:val="36"/>
          <w:szCs w:val="36"/>
          <w:lang w:eastAsia="es-MX"/>
        </w:rPr>
      </w:pPr>
      <w:bookmarkStart w:id="0" w:name="_GoBack"/>
      <w:bookmarkEnd w:id="0"/>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A769D4" w:rsidRDefault="00A769D4" w:rsidP="003E193F">
      <w:pPr>
        <w:spacing w:after="0" w:line="240" w:lineRule="auto"/>
        <w:jc w:val="center"/>
        <w:rPr>
          <w:rFonts w:ascii="Arial" w:hAnsi="Arial" w:cs="Arial"/>
          <w:b/>
          <w:bCs/>
        </w:rPr>
      </w:pPr>
    </w:p>
    <w:p w:rsidR="003E193F" w:rsidRPr="003E193F" w:rsidRDefault="002717D1" w:rsidP="003E193F">
      <w:pPr>
        <w:spacing w:after="0" w:line="240" w:lineRule="auto"/>
        <w:jc w:val="center"/>
        <w:rPr>
          <w:rFonts w:ascii="Arial" w:eastAsia="Times New Roman" w:hAnsi="Arial" w:cs="Arial"/>
          <w:iCs/>
          <w:lang w:eastAsia="es-CO"/>
        </w:rPr>
      </w:pPr>
      <w:r w:rsidRPr="00B275D0">
        <w:rPr>
          <w:rFonts w:ascii="Arial" w:hAnsi="Arial" w:cs="Arial"/>
          <w:b/>
          <w:bCs/>
        </w:rPr>
        <w:t>TEXTO DEFINITIVO APROBADO EN PRI</w:t>
      </w:r>
      <w:r w:rsidR="005D3575" w:rsidRPr="00B275D0">
        <w:rPr>
          <w:rFonts w:ascii="Arial" w:hAnsi="Arial" w:cs="Arial"/>
          <w:b/>
          <w:bCs/>
        </w:rPr>
        <w:t xml:space="preserve">MER DEBATE </w:t>
      </w:r>
      <w:r w:rsidR="007B03BB" w:rsidRPr="00B275D0">
        <w:rPr>
          <w:rFonts w:ascii="Arial" w:hAnsi="Arial" w:cs="Arial"/>
          <w:b/>
          <w:bCs/>
        </w:rPr>
        <w:t>DE</w:t>
      </w:r>
      <w:r w:rsidR="005D3575" w:rsidRPr="00B275D0">
        <w:rPr>
          <w:rFonts w:ascii="Arial" w:hAnsi="Arial" w:cs="Arial"/>
          <w:b/>
          <w:bCs/>
        </w:rPr>
        <w:t xml:space="preserve">L PROYECTO DE LEY </w:t>
      </w:r>
      <w:r w:rsidR="00D67C41" w:rsidRPr="00B275D0">
        <w:rPr>
          <w:rFonts w:ascii="Arial" w:hAnsi="Arial" w:cs="Arial"/>
          <w:b/>
          <w:bCs/>
        </w:rPr>
        <w:t xml:space="preserve">No. </w:t>
      </w:r>
      <w:r w:rsidR="00D67C41">
        <w:rPr>
          <w:rFonts w:ascii="Arial" w:hAnsi="Arial" w:cs="Arial"/>
          <w:b/>
        </w:rPr>
        <w:t>059 DE 2017 CÁMARA “</w:t>
      </w:r>
      <w:r w:rsidR="00D67C41" w:rsidRPr="00047AE0">
        <w:rPr>
          <w:rFonts w:ascii="Arial" w:hAnsi="Arial" w:cs="Arial"/>
          <w:b/>
        </w:rPr>
        <w:t>POR MEDIO DE LA CUAL SE ESTABLECE COMO POLÍTICA PÚBLICA, EL PROGRAMA COLOMBIA MAYOR QUE BUSCA LA ATENCIÓN PRIMARIA A LAS NECESIDADES ECONÓMICAS DEL ADULTO MAYOR EN COLOMBIA</w:t>
      </w:r>
      <w:r w:rsidR="00065EC1" w:rsidRPr="00065EC1">
        <w:rPr>
          <w:rFonts w:ascii="Arial" w:eastAsia="Times New Roman" w:hAnsi="Arial" w:cs="Arial"/>
          <w:b/>
          <w:iCs/>
          <w:color w:val="000000"/>
          <w:lang w:eastAsia="es-CO"/>
        </w:rPr>
        <w:t>”</w:t>
      </w:r>
      <w:r w:rsidR="00065EC1" w:rsidRPr="00065EC1">
        <w:rPr>
          <w:rFonts w:ascii="Arial" w:hAnsi="Arial" w:cs="Arial"/>
          <w:b/>
        </w:rPr>
        <w:t>.</w:t>
      </w:r>
    </w:p>
    <w:p w:rsidR="00E9282E" w:rsidRDefault="00E9282E" w:rsidP="00151008">
      <w:pPr>
        <w:spacing w:line="240" w:lineRule="auto"/>
        <w:contextualSpacing/>
        <w:jc w:val="center"/>
        <w:rPr>
          <w:rFonts w:ascii="Arial" w:hAnsi="Arial" w:cs="Arial"/>
        </w:rPr>
      </w:pPr>
    </w:p>
    <w:p w:rsidR="002717D1" w:rsidRPr="000911A5" w:rsidRDefault="002717D1" w:rsidP="00151008">
      <w:pPr>
        <w:spacing w:line="240" w:lineRule="auto"/>
        <w:contextualSpacing/>
        <w:jc w:val="center"/>
        <w:rPr>
          <w:rFonts w:ascii="Arial" w:hAnsi="Arial" w:cs="Arial"/>
        </w:rPr>
      </w:pPr>
      <w:r w:rsidRPr="000911A5">
        <w:rPr>
          <w:rFonts w:ascii="Arial" w:hAnsi="Arial" w:cs="Arial"/>
        </w:rPr>
        <w:t>(</w:t>
      </w:r>
      <w:r w:rsidRPr="00741569">
        <w:rPr>
          <w:rFonts w:ascii="Arial" w:hAnsi="Arial" w:cs="Arial"/>
        </w:rPr>
        <w:t xml:space="preserve">Aprobado en la </w:t>
      </w:r>
      <w:r w:rsidR="006B757E" w:rsidRPr="00741569">
        <w:rPr>
          <w:rFonts w:ascii="Arial" w:hAnsi="Arial" w:cs="Arial"/>
        </w:rPr>
        <w:t>Sesión</w:t>
      </w:r>
      <w:r w:rsidRPr="00741569">
        <w:rPr>
          <w:rFonts w:ascii="Arial" w:hAnsi="Arial" w:cs="Arial"/>
        </w:rPr>
        <w:t xml:space="preserve"> de</w:t>
      </w:r>
      <w:r w:rsidR="006B757E" w:rsidRPr="00741569">
        <w:rPr>
          <w:rFonts w:ascii="Arial" w:hAnsi="Arial" w:cs="Arial"/>
        </w:rPr>
        <w:t xml:space="preserve">l </w:t>
      </w:r>
      <w:r w:rsidR="00D67C41">
        <w:rPr>
          <w:rFonts w:ascii="Arial" w:hAnsi="Arial" w:cs="Arial"/>
        </w:rPr>
        <w:t>2</w:t>
      </w:r>
      <w:r w:rsidR="00D51DA8">
        <w:rPr>
          <w:rFonts w:ascii="Arial" w:hAnsi="Arial" w:cs="Arial"/>
        </w:rPr>
        <w:t>1</w:t>
      </w:r>
      <w:r w:rsidRPr="00741569">
        <w:rPr>
          <w:rFonts w:ascii="Arial" w:hAnsi="Arial" w:cs="Arial"/>
        </w:rPr>
        <w:t xml:space="preserve"> de </w:t>
      </w:r>
      <w:r w:rsidR="00D51DA8">
        <w:rPr>
          <w:rFonts w:ascii="Arial" w:hAnsi="Arial" w:cs="Arial"/>
        </w:rPr>
        <w:t>noviembre</w:t>
      </w:r>
      <w:r w:rsidR="00065EC1" w:rsidRPr="00741569">
        <w:rPr>
          <w:rFonts w:ascii="Arial" w:hAnsi="Arial" w:cs="Arial"/>
        </w:rPr>
        <w:t xml:space="preserve"> </w:t>
      </w:r>
      <w:r w:rsidRPr="00741569">
        <w:rPr>
          <w:rFonts w:ascii="Arial" w:hAnsi="Arial" w:cs="Arial"/>
        </w:rPr>
        <w:t>de 201</w:t>
      </w:r>
      <w:r w:rsidR="009C714F" w:rsidRPr="00741569">
        <w:rPr>
          <w:rFonts w:ascii="Arial" w:hAnsi="Arial" w:cs="Arial"/>
        </w:rPr>
        <w:t>7</w:t>
      </w:r>
      <w:r w:rsidRPr="00741569">
        <w:rPr>
          <w:rFonts w:ascii="Arial" w:hAnsi="Arial" w:cs="Arial"/>
        </w:rPr>
        <w:t xml:space="preserve"> en la Comisión VII de la H. Cámara de Representantes, Acta No.</w:t>
      </w:r>
      <w:r w:rsidR="006B757E" w:rsidRPr="00741569">
        <w:rPr>
          <w:rFonts w:ascii="Arial" w:hAnsi="Arial" w:cs="Arial"/>
        </w:rPr>
        <w:t xml:space="preserve"> </w:t>
      </w:r>
      <w:r w:rsidR="00D51DA8">
        <w:rPr>
          <w:rFonts w:ascii="Arial" w:hAnsi="Arial" w:cs="Arial"/>
        </w:rPr>
        <w:t>2</w:t>
      </w:r>
      <w:r w:rsidR="00D67C41">
        <w:rPr>
          <w:rFonts w:ascii="Arial" w:hAnsi="Arial" w:cs="Arial"/>
        </w:rPr>
        <w:t>3</w:t>
      </w:r>
      <w:r w:rsidRPr="000911A5">
        <w:rPr>
          <w:rFonts w:ascii="Arial" w:hAnsi="Arial" w:cs="Arial"/>
        </w:rPr>
        <w:t>)</w:t>
      </w:r>
    </w:p>
    <w:p w:rsidR="009E52D9" w:rsidRDefault="009E52D9" w:rsidP="002717D1">
      <w:pPr>
        <w:spacing w:after="0" w:line="288" w:lineRule="atLeast"/>
        <w:jc w:val="center"/>
        <w:textAlignment w:val="center"/>
        <w:rPr>
          <w:rFonts w:ascii="Arial" w:eastAsia="Arial Unicode MS" w:hAnsi="Arial" w:cs="Arial"/>
          <w:b/>
          <w:color w:val="000000"/>
          <w:lang w:eastAsia="es-ES"/>
        </w:rPr>
      </w:pPr>
    </w:p>
    <w:p w:rsidR="001C7B89" w:rsidRPr="00CA67F1" w:rsidRDefault="001C7B89" w:rsidP="001C7B89">
      <w:pPr>
        <w:jc w:val="center"/>
        <w:rPr>
          <w:rFonts w:ascii="Arial" w:hAnsi="Arial" w:cs="Arial"/>
          <w:b/>
        </w:rPr>
      </w:pPr>
      <w:r w:rsidRPr="00CA67F1">
        <w:rPr>
          <w:rFonts w:ascii="Arial" w:hAnsi="Arial" w:cs="Arial"/>
          <w:b/>
        </w:rPr>
        <w:t>EL CONGRESO DE COLOMBIA</w:t>
      </w:r>
    </w:p>
    <w:p w:rsidR="001C7B89" w:rsidRPr="0080478F" w:rsidRDefault="001C7B89" w:rsidP="0080478F">
      <w:pPr>
        <w:pStyle w:val="Sinespaciado"/>
        <w:jc w:val="center"/>
        <w:rPr>
          <w:rFonts w:ascii="Arial" w:hAnsi="Arial" w:cs="Arial"/>
          <w:b/>
        </w:rPr>
      </w:pPr>
      <w:r w:rsidRPr="0080478F">
        <w:rPr>
          <w:rFonts w:ascii="Arial" w:hAnsi="Arial" w:cs="Arial"/>
          <w:b/>
        </w:rPr>
        <w:t>DECRETA</w:t>
      </w:r>
    </w:p>
    <w:p w:rsidR="001C7B89" w:rsidRPr="0080478F" w:rsidRDefault="001C7B89" w:rsidP="0080478F">
      <w:pPr>
        <w:pStyle w:val="Sinespaciado"/>
        <w:jc w:val="center"/>
        <w:rPr>
          <w:rFonts w:ascii="Arial" w:eastAsia="Times New Roman" w:hAnsi="Arial" w:cs="Arial"/>
          <w:b/>
          <w:color w:val="0D0D0D" w:themeColor="text1" w:themeTint="F2"/>
          <w:lang w:eastAsia="es-CO"/>
        </w:rPr>
      </w:pPr>
    </w:p>
    <w:p w:rsidR="00D82903" w:rsidRDefault="00D82903" w:rsidP="00D82903">
      <w:pPr>
        <w:pStyle w:val="Sinespaciado"/>
        <w:jc w:val="center"/>
        <w:rPr>
          <w:rFonts w:ascii="Arial" w:hAnsi="Arial" w:cs="Arial"/>
          <w:b/>
          <w:lang w:val="es-MX"/>
        </w:rPr>
      </w:pPr>
      <w:r w:rsidRPr="00D82903">
        <w:rPr>
          <w:rFonts w:ascii="Arial" w:hAnsi="Arial" w:cs="Arial"/>
          <w:b/>
          <w:lang w:val="es-MX"/>
        </w:rPr>
        <w:t>TITULO I.</w:t>
      </w:r>
    </w:p>
    <w:p w:rsidR="00D82903" w:rsidRPr="00D82903" w:rsidRDefault="00D82903" w:rsidP="00D82903">
      <w:pPr>
        <w:pStyle w:val="Sinespaciado"/>
        <w:jc w:val="center"/>
        <w:rPr>
          <w:rFonts w:ascii="Arial" w:hAnsi="Arial" w:cs="Arial"/>
          <w:b/>
          <w:lang w:val="es-MX"/>
        </w:rPr>
      </w:pPr>
    </w:p>
    <w:p w:rsidR="00D82903" w:rsidRPr="00D82903" w:rsidRDefault="00D82903" w:rsidP="00D82903">
      <w:pPr>
        <w:pStyle w:val="Sinespaciado"/>
        <w:jc w:val="center"/>
        <w:rPr>
          <w:rFonts w:ascii="Arial" w:hAnsi="Arial" w:cs="Arial"/>
          <w:b/>
          <w:lang w:val="es-MX"/>
        </w:rPr>
      </w:pPr>
      <w:r w:rsidRPr="00D82903">
        <w:rPr>
          <w:rFonts w:ascii="Arial" w:hAnsi="Arial" w:cs="Arial"/>
          <w:b/>
          <w:lang w:val="es-MX"/>
        </w:rPr>
        <w:t>DISPOSICIONES GENERALES</w:t>
      </w:r>
    </w:p>
    <w:p w:rsidR="00D82903" w:rsidRDefault="00D82903" w:rsidP="00D82903">
      <w:pPr>
        <w:pStyle w:val="Sinespaciado"/>
        <w:jc w:val="both"/>
        <w:rPr>
          <w:rFonts w:ascii="Arial" w:hAnsi="Arial" w:cs="Arial"/>
        </w:rPr>
      </w:pPr>
    </w:p>
    <w:p w:rsidR="00D82903" w:rsidRPr="00D82903" w:rsidRDefault="00D82903" w:rsidP="00D82903">
      <w:pPr>
        <w:pStyle w:val="Sinespaciado"/>
        <w:jc w:val="both"/>
        <w:rPr>
          <w:rFonts w:ascii="Arial" w:hAnsi="Arial" w:cs="Arial"/>
        </w:rPr>
      </w:pPr>
      <w:r w:rsidRPr="00D82903">
        <w:rPr>
          <w:rFonts w:ascii="Arial" w:hAnsi="Arial" w:cs="Arial"/>
          <w:b/>
        </w:rPr>
        <w:t>Artículo 1º. OBJETO DE LA LEY.</w:t>
      </w:r>
      <w:r w:rsidRPr="00D82903">
        <w:rPr>
          <w:rFonts w:ascii="Arial" w:hAnsi="Arial" w:cs="Arial"/>
        </w:rPr>
        <w:t xml:space="preserve"> Esta iniciativa Legislativa pretende establecer como Política Pública,  el programa COLOMBIA MAYOR que se fundamenta en un enfoque de derechos que considera al envejecimiento, además de proceso natural, como una opción de ciudadanía activa, positiva, saludable y digna que apunte a garantizar mejores condiciones de vida y por consiguiente un envejecimiento positivo y saludable.</w:t>
      </w:r>
    </w:p>
    <w:p w:rsidR="00D82903" w:rsidRPr="00D82903" w:rsidRDefault="00D82903" w:rsidP="00D82903">
      <w:pPr>
        <w:pStyle w:val="Sinespaciado"/>
        <w:jc w:val="both"/>
        <w:rPr>
          <w:rFonts w:ascii="Arial" w:hAnsi="Arial" w:cs="Arial"/>
        </w:rPr>
      </w:pPr>
    </w:p>
    <w:p w:rsidR="00D82903" w:rsidRPr="00D82903" w:rsidRDefault="00D82903" w:rsidP="00D82903">
      <w:pPr>
        <w:pStyle w:val="Sinespaciado"/>
        <w:jc w:val="both"/>
        <w:rPr>
          <w:rFonts w:ascii="Arial" w:hAnsi="Arial" w:cs="Arial"/>
        </w:rPr>
      </w:pPr>
      <w:r w:rsidRPr="00D82903">
        <w:rPr>
          <w:rFonts w:ascii="Arial" w:hAnsi="Arial" w:cs="Arial"/>
          <w:b/>
        </w:rPr>
        <w:t>Artículo 2º.  POLITICA COLOMBIA MAYOR</w:t>
      </w:r>
      <w:r w:rsidRPr="00D82903">
        <w:rPr>
          <w:rFonts w:ascii="Arial" w:hAnsi="Arial" w:cs="Arial"/>
        </w:rPr>
        <w:t xml:space="preserve">.  La política pública COLOMBIA MAYOR representa la postura del estado colombiano frente a la población mayor como destinataria de derechos de largo aliento que trascienda los períodos gubernamentales. </w:t>
      </w:r>
    </w:p>
    <w:p w:rsidR="00D82903" w:rsidRPr="00D82903" w:rsidRDefault="00D82903" w:rsidP="00D82903">
      <w:pPr>
        <w:pStyle w:val="Sinespaciado"/>
        <w:jc w:val="both"/>
        <w:rPr>
          <w:rFonts w:ascii="Arial" w:hAnsi="Arial" w:cs="Arial"/>
        </w:rPr>
      </w:pPr>
    </w:p>
    <w:p w:rsidR="00D82903" w:rsidRPr="00D82903" w:rsidRDefault="00D82903" w:rsidP="00D82903">
      <w:pPr>
        <w:pStyle w:val="Sinespaciado"/>
        <w:jc w:val="both"/>
        <w:rPr>
          <w:rFonts w:ascii="Arial" w:hAnsi="Arial" w:cs="Arial"/>
        </w:rPr>
      </w:pPr>
      <w:r w:rsidRPr="00D82903">
        <w:rPr>
          <w:rFonts w:ascii="Arial" w:hAnsi="Arial" w:cs="Arial"/>
          <w:b/>
        </w:rPr>
        <w:t>Artículo 3º.  PRINCIPIOS RECTORES DE LA POLITICA COLOMBIA MAYOR</w:t>
      </w:r>
      <w:r w:rsidRPr="00D82903">
        <w:rPr>
          <w:rFonts w:ascii="Arial" w:hAnsi="Arial" w:cs="Arial"/>
        </w:rPr>
        <w:t xml:space="preserve">. </w:t>
      </w:r>
      <w:r w:rsidRPr="00D82903">
        <w:rPr>
          <w:rFonts w:ascii="Arial" w:hAnsi="Arial" w:cs="Arial"/>
        </w:rPr>
        <w:t>Los principios</w:t>
      </w:r>
      <w:r w:rsidRPr="00D82903">
        <w:rPr>
          <w:rFonts w:ascii="Arial" w:hAnsi="Arial" w:cs="Arial"/>
        </w:rPr>
        <w:t xml:space="preserve"> que fundamentan la presente ley se </w:t>
      </w:r>
      <w:r w:rsidRPr="00D82903">
        <w:rPr>
          <w:rFonts w:ascii="Arial" w:hAnsi="Arial" w:cs="Arial"/>
        </w:rPr>
        <w:t>cimientan</w:t>
      </w:r>
      <w:r w:rsidRPr="00D82903">
        <w:rPr>
          <w:rFonts w:ascii="Arial" w:hAnsi="Arial" w:cs="Arial"/>
        </w:rPr>
        <w:t xml:space="preserve"> en la Constitución Política y las leyes sobre la materia:</w:t>
      </w:r>
    </w:p>
    <w:p w:rsidR="00D82903" w:rsidRDefault="00D82903" w:rsidP="00D82903">
      <w:pPr>
        <w:pStyle w:val="Sinespaciado"/>
        <w:jc w:val="both"/>
        <w:rPr>
          <w:rFonts w:ascii="Arial" w:hAnsi="Arial" w:cs="Arial"/>
        </w:rPr>
      </w:pP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 xml:space="preserve">La prevalencia de los derechos del adulto mayor. </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prevención.</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protección.</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promoción.</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equidad.</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inclusión.</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integralidad y articulación de las políticas.</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solidaridad.</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participación social.</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El acceso.</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disponibilidad.</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permanencia.</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calidad.</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sostenibilidad.</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universalidad.</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complementariedad.</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corresponsabilidad.</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lastRenderedPageBreak/>
        <w:t>La financiación, gestión y eficiencia del gasto y</w:t>
      </w:r>
      <w:r>
        <w:rPr>
          <w:rFonts w:ascii="Arial" w:hAnsi="Arial" w:cs="Arial"/>
        </w:rPr>
        <w:t xml:space="preserve"> la inversión pública de las </w:t>
      </w:r>
      <w:r w:rsidRPr="00D82903">
        <w:rPr>
          <w:rFonts w:ascii="Arial" w:hAnsi="Arial" w:cs="Arial"/>
        </w:rPr>
        <w:t xml:space="preserve">políticas </w:t>
      </w:r>
      <w:r>
        <w:rPr>
          <w:rFonts w:ascii="Arial" w:hAnsi="Arial" w:cs="Arial"/>
        </w:rPr>
        <w:t>públicas sobre el adulto mayor.</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evaluación.</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solidaridad intergeneracional del sistema de seguridad social integral.</w:t>
      </w:r>
    </w:p>
    <w:p w:rsidR="00D82903" w:rsidRPr="00D82903" w:rsidRDefault="00D82903" w:rsidP="00D82903">
      <w:pPr>
        <w:pStyle w:val="Sinespaciado"/>
        <w:numPr>
          <w:ilvl w:val="0"/>
          <w:numId w:val="42"/>
        </w:numPr>
        <w:jc w:val="both"/>
        <w:rPr>
          <w:rFonts w:ascii="Arial" w:hAnsi="Arial" w:cs="Arial"/>
        </w:rPr>
      </w:pPr>
      <w:r w:rsidRPr="00D82903">
        <w:rPr>
          <w:rFonts w:ascii="Arial" w:hAnsi="Arial" w:cs="Arial"/>
        </w:rPr>
        <w:t>La justicia social distributiva.</w:t>
      </w:r>
    </w:p>
    <w:p w:rsidR="00D82903" w:rsidRPr="00D82903" w:rsidRDefault="00D82903" w:rsidP="00D82903">
      <w:pPr>
        <w:pStyle w:val="Sinespaciado"/>
        <w:jc w:val="both"/>
        <w:rPr>
          <w:rFonts w:ascii="Arial" w:hAnsi="Arial" w:cs="Arial"/>
        </w:rPr>
      </w:pPr>
    </w:p>
    <w:p w:rsidR="00D82903" w:rsidRPr="00D82903" w:rsidRDefault="00D82903" w:rsidP="00D82903">
      <w:pPr>
        <w:pStyle w:val="Sinespaciado"/>
        <w:jc w:val="both"/>
        <w:rPr>
          <w:rFonts w:ascii="Arial" w:hAnsi="Arial" w:cs="Arial"/>
        </w:rPr>
      </w:pPr>
      <w:r w:rsidRPr="00D82903">
        <w:rPr>
          <w:rFonts w:ascii="Arial" w:hAnsi="Arial" w:cs="Arial"/>
          <w:b/>
        </w:rPr>
        <w:t>Artículo 4º.  DEFINICIONES</w:t>
      </w:r>
      <w:r w:rsidRPr="00D82903">
        <w:rPr>
          <w:rFonts w:ascii="Arial" w:hAnsi="Arial" w:cs="Arial"/>
        </w:rPr>
        <w:t xml:space="preserve">. Para efectos de la presente ley se entenderá como: </w:t>
      </w:r>
    </w:p>
    <w:p w:rsidR="00D82903" w:rsidRDefault="00D82903" w:rsidP="00D82903">
      <w:pPr>
        <w:pStyle w:val="Sinespaciado"/>
        <w:jc w:val="both"/>
        <w:rPr>
          <w:rFonts w:ascii="Arial" w:hAnsi="Arial" w:cs="Arial"/>
          <w:u w:val="single"/>
        </w:rPr>
      </w:pPr>
    </w:p>
    <w:p w:rsidR="00D82903" w:rsidRPr="00D82903" w:rsidRDefault="00D82903" w:rsidP="00D82903">
      <w:pPr>
        <w:pStyle w:val="Sinespaciado"/>
        <w:numPr>
          <w:ilvl w:val="0"/>
          <w:numId w:val="43"/>
        </w:numPr>
        <w:jc w:val="both"/>
        <w:rPr>
          <w:rFonts w:ascii="Arial" w:hAnsi="Arial" w:cs="Arial"/>
        </w:rPr>
      </w:pPr>
      <w:r w:rsidRPr="00D82903">
        <w:rPr>
          <w:rFonts w:ascii="Arial" w:hAnsi="Arial" w:cs="Arial"/>
          <w:u w:val="single"/>
        </w:rPr>
        <w:t>Centros de Bienestar del Adulto Mayor</w:t>
      </w:r>
      <w:r w:rsidRPr="00D82903">
        <w:rPr>
          <w:rFonts w:ascii="Arial" w:hAnsi="Arial" w:cs="Arial"/>
        </w:rPr>
        <w:t>: Son instituciones</w:t>
      </w:r>
      <w:r w:rsidRPr="00D82903">
        <w:rPr>
          <w:rFonts w:ascii="Arial" w:hAnsi="Arial" w:cs="Arial"/>
        </w:rPr>
        <w:t xml:space="preserve"> sin ánimo de lucro, de naturaleza público, privada o mixta de cualquier nivel, que prestan servicios integrales a los adultos mayores pobres y vulnerables que allí residan.</w:t>
      </w:r>
    </w:p>
    <w:p w:rsidR="00D82903" w:rsidRPr="00D82903" w:rsidRDefault="00D82903" w:rsidP="00D82903">
      <w:pPr>
        <w:pStyle w:val="Sinespaciado"/>
        <w:jc w:val="both"/>
        <w:rPr>
          <w:rFonts w:ascii="Arial" w:hAnsi="Arial" w:cs="Arial"/>
        </w:rPr>
      </w:pPr>
    </w:p>
    <w:p w:rsidR="00D82903" w:rsidRPr="00D82903" w:rsidRDefault="00D82903" w:rsidP="00D82903">
      <w:pPr>
        <w:pStyle w:val="Sinespaciado"/>
        <w:numPr>
          <w:ilvl w:val="0"/>
          <w:numId w:val="43"/>
        </w:numPr>
        <w:jc w:val="both"/>
        <w:rPr>
          <w:rFonts w:ascii="Arial" w:hAnsi="Arial" w:cs="Arial"/>
        </w:rPr>
      </w:pPr>
      <w:r w:rsidRPr="00D82903">
        <w:rPr>
          <w:rFonts w:ascii="Arial" w:hAnsi="Arial" w:cs="Arial"/>
          <w:u w:val="single"/>
        </w:rPr>
        <w:t>Centro diurno</w:t>
      </w:r>
      <w:r w:rsidRPr="00D82903">
        <w:rPr>
          <w:rFonts w:ascii="Arial" w:hAnsi="Arial" w:cs="Arial"/>
        </w:rPr>
        <w:t>: Son instituciones sin ánimo de lucro, de naturaleza pública, privada o mixta de cualquier nivel, que prestan servicios de apoyo nutricional y brindan atención ocupacional a través de actividades tales como: educación, recreación, deporte, turismo y/o proyectos productivos. Los adultos mayores asisten durante el día y no pernoctan en ellos.</w:t>
      </w:r>
    </w:p>
    <w:p w:rsidR="00D82903" w:rsidRPr="00D82903" w:rsidRDefault="00D82903" w:rsidP="00D82903">
      <w:pPr>
        <w:pStyle w:val="Sinespaciado"/>
        <w:jc w:val="both"/>
        <w:rPr>
          <w:rFonts w:ascii="Arial" w:hAnsi="Arial" w:cs="Arial"/>
        </w:rPr>
      </w:pPr>
      <w:r w:rsidRPr="00D82903">
        <w:rPr>
          <w:rFonts w:ascii="Arial" w:hAnsi="Arial" w:cs="Arial"/>
        </w:rPr>
        <w:t xml:space="preserve">   </w:t>
      </w:r>
    </w:p>
    <w:p w:rsidR="00D82903" w:rsidRPr="00D82903" w:rsidRDefault="00D82903" w:rsidP="00D82903">
      <w:pPr>
        <w:pStyle w:val="Sinespaciado"/>
        <w:numPr>
          <w:ilvl w:val="0"/>
          <w:numId w:val="43"/>
        </w:numPr>
        <w:jc w:val="both"/>
        <w:rPr>
          <w:rFonts w:ascii="Arial" w:hAnsi="Arial" w:cs="Arial"/>
        </w:rPr>
      </w:pPr>
      <w:r w:rsidRPr="00D82903">
        <w:rPr>
          <w:rFonts w:ascii="Arial" w:hAnsi="Arial" w:cs="Arial"/>
          <w:u w:val="single"/>
        </w:rPr>
        <w:t>Fondo de Solidaridad pensional</w:t>
      </w:r>
      <w:r w:rsidRPr="00D82903">
        <w:rPr>
          <w:rFonts w:ascii="Arial" w:hAnsi="Arial" w:cs="Arial"/>
        </w:rPr>
        <w:t>:   El Fondo de Solidaridad Pensional (FSP), es una cuenta especial de la Nación, sin personería jurídica, adscrita al Ministerio del Trabajo, destinada a subsidiar las cotizaciones para pensiones de los grupos de población que por sus características y condiciones económicas no tienen acceso a los Sistemas de Seguridad Social, así como el otorgamiento de subsidios económicos para la protección de adultos mayores en estado de indigencia o de pobreza extrema.</w:t>
      </w:r>
    </w:p>
    <w:p w:rsidR="00D82903" w:rsidRPr="00D82903" w:rsidRDefault="00D82903" w:rsidP="00D82903">
      <w:pPr>
        <w:pStyle w:val="Sinespaciado"/>
        <w:jc w:val="both"/>
        <w:rPr>
          <w:rFonts w:ascii="Arial" w:hAnsi="Arial" w:cs="Arial"/>
        </w:rPr>
      </w:pPr>
    </w:p>
    <w:p w:rsidR="00D82903" w:rsidRPr="00D82903" w:rsidRDefault="00D82903" w:rsidP="00D82903">
      <w:pPr>
        <w:pStyle w:val="Sinespaciado"/>
        <w:numPr>
          <w:ilvl w:val="0"/>
          <w:numId w:val="43"/>
        </w:numPr>
        <w:jc w:val="both"/>
        <w:rPr>
          <w:rFonts w:ascii="Arial" w:hAnsi="Arial" w:cs="Arial"/>
        </w:rPr>
      </w:pPr>
      <w:r w:rsidRPr="00D82903">
        <w:rPr>
          <w:rFonts w:ascii="Arial" w:hAnsi="Arial" w:cs="Arial"/>
          <w:u w:val="single"/>
        </w:rPr>
        <w:t>Subsidio económico directo</w:t>
      </w:r>
      <w:r w:rsidRPr="00D82903">
        <w:rPr>
          <w:rFonts w:ascii="Arial" w:hAnsi="Arial" w:cs="Arial"/>
        </w:rPr>
        <w:t xml:space="preserve">: </w:t>
      </w:r>
      <w:r>
        <w:rPr>
          <w:rFonts w:ascii="Arial" w:hAnsi="Arial" w:cs="Arial"/>
        </w:rPr>
        <w:t>S</w:t>
      </w:r>
      <w:r w:rsidRPr="00D82903">
        <w:rPr>
          <w:rFonts w:ascii="Arial" w:hAnsi="Arial" w:cs="Arial"/>
        </w:rPr>
        <w:t xml:space="preserve">e otorga en dinero, el cual se gira directamente a los beneficiarios a través dela Red bancaria, entidades contratadas para este fin. </w:t>
      </w:r>
    </w:p>
    <w:p w:rsidR="00D82903" w:rsidRPr="00D82903" w:rsidRDefault="00D82903" w:rsidP="00D82903">
      <w:pPr>
        <w:pStyle w:val="Sinespaciado"/>
        <w:jc w:val="both"/>
        <w:rPr>
          <w:rFonts w:ascii="Arial" w:hAnsi="Arial" w:cs="Arial"/>
        </w:rPr>
      </w:pPr>
    </w:p>
    <w:p w:rsidR="00D82903" w:rsidRPr="00D82903" w:rsidRDefault="00D82903" w:rsidP="00D82903">
      <w:pPr>
        <w:pStyle w:val="Sinespaciado"/>
        <w:numPr>
          <w:ilvl w:val="0"/>
          <w:numId w:val="43"/>
        </w:numPr>
        <w:jc w:val="both"/>
        <w:rPr>
          <w:rFonts w:ascii="Arial" w:hAnsi="Arial" w:cs="Arial"/>
        </w:rPr>
      </w:pPr>
      <w:r w:rsidRPr="00D82903">
        <w:rPr>
          <w:rFonts w:ascii="Arial" w:hAnsi="Arial" w:cs="Arial"/>
          <w:u w:val="single"/>
        </w:rPr>
        <w:t>Subsidio económico indirecto</w:t>
      </w:r>
      <w:r w:rsidRPr="00D82903">
        <w:rPr>
          <w:rFonts w:ascii="Arial" w:hAnsi="Arial" w:cs="Arial"/>
          <w:u w:val="single"/>
        </w:rPr>
        <w:t>:</w:t>
      </w:r>
      <w:r w:rsidRPr="00D82903">
        <w:rPr>
          <w:rFonts w:ascii="Arial" w:hAnsi="Arial" w:cs="Arial"/>
        </w:rPr>
        <w:t xml:space="preserve"> </w:t>
      </w:r>
      <w:r>
        <w:rPr>
          <w:rFonts w:ascii="Arial" w:hAnsi="Arial" w:cs="Arial"/>
        </w:rPr>
        <w:t>S</w:t>
      </w:r>
      <w:r w:rsidRPr="00D82903">
        <w:rPr>
          <w:rFonts w:ascii="Arial" w:hAnsi="Arial" w:cs="Arial"/>
        </w:rPr>
        <w:t>e</w:t>
      </w:r>
      <w:r w:rsidRPr="00D82903">
        <w:rPr>
          <w:rFonts w:ascii="Arial" w:hAnsi="Arial" w:cs="Arial"/>
        </w:rPr>
        <w:t xml:space="preserve"> otorga en servicios sociales básicos que comprenden alimentación, alojamiento, elementos de higiene y salubridad, medicamentos o ayudas técnicas, prótesis u órtesis (elementos para atender una discapacidad y que favorecen la autonomía personal y su calidad de vida) no incluidos en el Plan Obligatorio de Salud (POS) y se entrega a través de los Centros de Bienestar del Adulto Mayor, Centros diurnos.  Los recursos para financiar esta modalidad son girados cada dos meses, es decir, bimestralmente al Centro de Bienestar o al Centro Diurno según sea el caso, una vez se haya suscrito el convenio con el respectivo centro o ente territorial. </w:t>
      </w:r>
    </w:p>
    <w:p w:rsidR="00D82903" w:rsidRPr="00D82903" w:rsidRDefault="00D82903" w:rsidP="00D82903">
      <w:pPr>
        <w:pStyle w:val="Sinespaciado"/>
        <w:jc w:val="both"/>
        <w:rPr>
          <w:rFonts w:ascii="Arial" w:hAnsi="Arial" w:cs="Arial"/>
        </w:rPr>
      </w:pPr>
    </w:p>
    <w:p w:rsidR="00D82903" w:rsidRPr="00D82903" w:rsidRDefault="00D82903" w:rsidP="00D82903">
      <w:pPr>
        <w:pStyle w:val="Sinespaciado"/>
        <w:numPr>
          <w:ilvl w:val="0"/>
          <w:numId w:val="43"/>
        </w:numPr>
        <w:jc w:val="both"/>
        <w:rPr>
          <w:rFonts w:ascii="Arial" w:hAnsi="Arial" w:cs="Arial"/>
        </w:rPr>
      </w:pPr>
      <w:r w:rsidRPr="00D82903">
        <w:rPr>
          <w:rFonts w:ascii="Arial" w:hAnsi="Arial" w:cs="Arial"/>
          <w:u w:val="single"/>
        </w:rPr>
        <w:t>Plan para el adulto mayor</w:t>
      </w:r>
      <w:r w:rsidR="004120FE" w:rsidRPr="00D82903">
        <w:rPr>
          <w:rFonts w:ascii="Arial" w:hAnsi="Arial" w:cs="Arial"/>
        </w:rPr>
        <w:t>: Es</w:t>
      </w:r>
      <w:r w:rsidRPr="00D82903">
        <w:rPr>
          <w:rFonts w:ascii="Arial" w:hAnsi="Arial" w:cs="Arial"/>
        </w:rPr>
        <w:t xml:space="preserve"> el conjunto de atenciones que el país ha acordado deben asegurarse tanto a la familia como a los adultos </w:t>
      </w:r>
      <w:r w:rsidR="004120FE" w:rsidRPr="00D82903">
        <w:rPr>
          <w:rFonts w:ascii="Arial" w:hAnsi="Arial" w:cs="Arial"/>
        </w:rPr>
        <w:t>mayores con</w:t>
      </w:r>
      <w:r w:rsidRPr="00D82903">
        <w:rPr>
          <w:rFonts w:ascii="Arial" w:hAnsi="Arial" w:cs="Arial"/>
        </w:rPr>
        <w:t xml:space="preserve"> el fin de garantizar condiciones favorables a su envejecimiento para que éste sea digno.  Permite a los territorios organizar, dar pertinencia y consistencia a la oferta a través de la cual se prestan las atenciones allí relacionadas, asegurando que se articulen y que lleguen armónicamente a cada adulto mayor de acuerdo con su condición.</w:t>
      </w:r>
    </w:p>
    <w:p w:rsidR="00D82903" w:rsidRPr="00D82903" w:rsidRDefault="00D82903" w:rsidP="00D82903">
      <w:pPr>
        <w:pStyle w:val="Sinespaciado"/>
        <w:jc w:val="both"/>
        <w:rPr>
          <w:rFonts w:ascii="Arial" w:hAnsi="Arial" w:cs="Arial"/>
        </w:rPr>
      </w:pPr>
    </w:p>
    <w:p w:rsidR="00D82903" w:rsidRPr="00D82903" w:rsidRDefault="00D82903" w:rsidP="00D82903">
      <w:pPr>
        <w:pStyle w:val="Sinespaciado"/>
        <w:jc w:val="both"/>
        <w:rPr>
          <w:rFonts w:ascii="Arial" w:hAnsi="Arial" w:cs="Arial"/>
        </w:rPr>
      </w:pPr>
      <w:r w:rsidRPr="004120FE">
        <w:rPr>
          <w:rFonts w:ascii="Arial" w:hAnsi="Arial" w:cs="Arial"/>
          <w:b/>
        </w:rPr>
        <w:t>Artículo 5º.  ÁMBITO DE APLICACIÓN</w:t>
      </w:r>
      <w:r w:rsidRPr="00D82903">
        <w:rPr>
          <w:rFonts w:ascii="Arial" w:hAnsi="Arial" w:cs="Arial"/>
        </w:rPr>
        <w:t xml:space="preserve">. La política para el desarrollo integral del adulto mayor, se implementará en todos y cada uno de los territorios del país, reconociendo su diversidad con un enfoque diferencial y poblacional y con los criterios de priorización, de acuerdo con lo dispuesto en el marco normativo artículo 33 del Decreto 3771 de 2007, modificado parcialmente por el Decreto 455 del 28 de Febrero de 2014. </w:t>
      </w:r>
    </w:p>
    <w:p w:rsidR="004120FE" w:rsidRDefault="004120FE" w:rsidP="00D82903">
      <w:pPr>
        <w:pStyle w:val="Sinespaciado"/>
        <w:jc w:val="both"/>
        <w:rPr>
          <w:rFonts w:ascii="Arial" w:hAnsi="Arial" w:cs="Arial"/>
        </w:rPr>
      </w:pPr>
    </w:p>
    <w:p w:rsidR="00D82903" w:rsidRPr="00D82903" w:rsidRDefault="00D82903" w:rsidP="00D82903">
      <w:pPr>
        <w:pStyle w:val="Sinespaciado"/>
        <w:jc w:val="both"/>
        <w:rPr>
          <w:rFonts w:ascii="Arial" w:hAnsi="Arial" w:cs="Arial"/>
        </w:rPr>
      </w:pPr>
      <w:r w:rsidRPr="00D82903">
        <w:rPr>
          <w:rFonts w:ascii="Arial" w:hAnsi="Arial" w:cs="Arial"/>
        </w:rPr>
        <w:t xml:space="preserve">La política deberá contar con la concurrencia tanto de actores públicos como de actores privados. </w:t>
      </w:r>
    </w:p>
    <w:p w:rsidR="004120FE" w:rsidRDefault="004120FE" w:rsidP="00D82903">
      <w:pPr>
        <w:pStyle w:val="Sinespaciado"/>
        <w:jc w:val="both"/>
        <w:rPr>
          <w:rFonts w:ascii="Arial" w:hAnsi="Arial" w:cs="Arial"/>
        </w:rPr>
      </w:pPr>
    </w:p>
    <w:p w:rsidR="00D82903" w:rsidRPr="00D82903" w:rsidRDefault="00D82903" w:rsidP="00D82903">
      <w:pPr>
        <w:pStyle w:val="Sinespaciado"/>
        <w:jc w:val="both"/>
        <w:rPr>
          <w:rFonts w:ascii="Arial" w:hAnsi="Arial" w:cs="Arial"/>
        </w:rPr>
      </w:pPr>
      <w:r w:rsidRPr="00D82903">
        <w:rPr>
          <w:rFonts w:ascii="Arial" w:hAnsi="Arial" w:cs="Arial"/>
        </w:rPr>
        <w:lastRenderedPageBreak/>
        <w:t>La política Colombia Mayor será de obligatorio cumplimiento para todas las instituciones del Estado, de acuerdo con las competencias constitucionales y legales.</w:t>
      </w:r>
    </w:p>
    <w:p w:rsidR="00D82903" w:rsidRPr="00D82903" w:rsidRDefault="00D82903" w:rsidP="00D82903">
      <w:pPr>
        <w:pStyle w:val="Sinespaciado"/>
        <w:jc w:val="both"/>
        <w:rPr>
          <w:rFonts w:ascii="Arial" w:hAnsi="Arial" w:cs="Arial"/>
          <w:lang w:val="es-MX"/>
        </w:rPr>
      </w:pPr>
    </w:p>
    <w:p w:rsidR="00D82903" w:rsidRPr="00D82903" w:rsidRDefault="00D82903" w:rsidP="00D82903">
      <w:pPr>
        <w:pStyle w:val="Sinespaciado"/>
        <w:jc w:val="both"/>
        <w:rPr>
          <w:rFonts w:ascii="Arial" w:hAnsi="Arial" w:cs="Arial"/>
          <w:lang w:val="es-MX"/>
        </w:rPr>
      </w:pPr>
    </w:p>
    <w:p w:rsidR="00D82903" w:rsidRPr="004120FE" w:rsidRDefault="00D82903" w:rsidP="004120FE">
      <w:pPr>
        <w:pStyle w:val="Sinespaciado"/>
        <w:jc w:val="center"/>
        <w:rPr>
          <w:rFonts w:ascii="Arial" w:hAnsi="Arial" w:cs="Arial"/>
          <w:b/>
          <w:lang w:val="es-MX"/>
        </w:rPr>
      </w:pPr>
      <w:r w:rsidRPr="004120FE">
        <w:rPr>
          <w:rFonts w:ascii="Arial" w:hAnsi="Arial" w:cs="Arial"/>
          <w:b/>
          <w:lang w:val="es-MX"/>
        </w:rPr>
        <w:t>TITULO II.</w:t>
      </w:r>
    </w:p>
    <w:p w:rsidR="004120FE" w:rsidRDefault="004120FE" w:rsidP="004120FE">
      <w:pPr>
        <w:pStyle w:val="Sinespaciado"/>
        <w:jc w:val="center"/>
        <w:rPr>
          <w:rFonts w:ascii="Arial" w:hAnsi="Arial" w:cs="Arial"/>
          <w:b/>
          <w:lang w:val="es-MX"/>
        </w:rPr>
      </w:pPr>
    </w:p>
    <w:p w:rsidR="00D82903" w:rsidRPr="004120FE" w:rsidRDefault="00D82903" w:rsidP="004120FE">
      <w:pPr>
        <w:pStyle w:val="Sinespaciado"/>
        <w:jc w:val="center"/>
        <w:rPr>
          <w:rFonts w:ascii="Arial" w:hAnsi="Arial" w:cs="Arial"/>
          <w:b/>
          <w:lang w:val="es-MX"/>
        </w:rPr>
      </w:pPr>
      <w:r w:rsidRPr="004120FE">
        <w:rPr>
          <w:rFonts w:ascii="Arial" w:hAnsi="Arial" w:cs="Arial"/>
          <w:b/>
          <w:lang w:val="es-MX"/>
        </w:rPr>
        <w:t xml:space="preserve">FASES </w:t>
      </w:r>
      <w:r w:rsidR="004120FE" w:rsidRPr="004120FE">
        <w:rPr>
          <w:rFonts w:ascii="Arial" w:hAnsi="Arial" w:cs="Arial"/>
          <w:b/>
          <w:lang w:val="es-MX"/>
        </w:rPr>
        <w:t>Y LINEAS</w:t>
      </w:r>
      <w:r w:rsidRPr="004120FE">
        <w:rPr>
          <w:rFonts w:ascii="Arial" w:hAnsi="Arial" w:cs="Arial"/>
          <w:b/>
          <w:lang w:val="es-MX"/>
        </w:rPr>
        <w:t xml:space="preserve"> DE ACCION</w:t>
      </w:r>
    </w:p>
    <w:p w:rsidR="00D82903" w:rsidRPr="00D82903" w:rsidRDefault="00D82903" w:rsidP="00D82903">
      <w:pPr>
        <w:pStyle w:val="Sinespaciado"/>
        <w:jc w:val="both"/>
        <w:rPr>
          <w:rFonts w:ascii="Arial" w:hAnsi="Arial" w:cs="Arial"/>
          <w:lang w:val="es-MX"/>
        </w:rPr>
      </w:pPr>
    </w:p>
    <w:p w:rsidR="00D82903" w:rsidRPr="00D82903" w:rsidRDefault="00D82903" w:rsidP="00D82903">
      <w:pPr>
        <w:pStyle w:val="Sinespaciado"/>
        <w:jc w:val="both"/>
        <w:rPr>
          <w:rFonts w:ascii="Arial" w:hAnsi="Arial" w:cs="Arial"/>
          <w:lang w:val="es-MX"/>
        </w:rPr>
      </w:pPr>
      <w:r w:rsidRPr="004120FE">
        <w:rPr>
          <w:rFonts w:ascii="Arial" w:hAnsi="Arial" w:cs="Arial"/>
          <w:b/>
          <w:lang w:val="es-MX"/>
        </w:rPr>
        <w:t>Artículo 6º.  FASES</w:t>
      </w:r>
      <w:r w:rsidRPr="00D82903">
        <w:rPr>
          <w:rFonts w:ascii="Arial" w:hAnsi="Arial" w:cs="Arial"/>
          <w:lang w:val="es-MX"/>
        </w:rPr>
        <w:t>. La política pública asumirá las siguientes fases,</w:t>
      </w:r>
    </w:p>
    <w:p w:rsidR="004120FE" w:rsidRDefault="004120FE" w:rsidP="00D82903">
      <w:pPr>
        <w:pStyle w:val="Sinespaciado"/>
        <w:jc w:val="both"/>
        <w:rPr>
          <w:rFonts w:ascii="Arial" w:hAnsi="Arial" w:cs="Arial"/>
          <w:lang w:val="es-MX"/>
        </w:rPr>
      </w:pPr>
    </w:p>
    <w:p w:rsidR="00D82903" w:rsidRPr="00D82903" w:rsidRDefault="00D82903" w:rsidP="001E2365">
      <w:pPr>
        <w:pStyle w:val="Sinespaciado"/>
        <w:numPr>
          <w:ilvl w:val="0"/>
          <w:numId w:val="44"/>
        </w:numPr>
        <w:jc w:val="both"/>
        <w:rPr>
          <w:rFonts w:ascii="Arial" w:hAnsi="Arial" w:cs="Arial"/>
          <w:lang w:val="es-MX"/>
        </w:rPr>
      </w:pPr>
      <w:r w:rsidRPr="00D82903">
        <w:rPr>
          <w:rFonts w:ascii="Arial" w:hAnsi="Arial" w:cs="Arial"/>
          <w:lang w:val="es-MX"/>
        </w:rPr>
        <w:t>Identificación</w:t>
      </w:r>
      <w:r w:rsidR="004120FE" w:rsidRPr="00D82903">
        <w:rPr>
          <w:rFonts w:ascii="Arial" w:hAnsi="Arial" w:cs="Arial"/>
          <w:lang w:val="es-MX"/>
        </w:rPr>
        <w:t>: En</w:t>
      </w:r>
      <w:r w:rsidRPr="00D82903">
        <w:rPr>
          <w:rFonts w:ascii="Arial" w:hAnsi="Arial" w:cs="Arial"/>
          <w:lang w:val="es-MX"/>
        </w:rPr>
        <w:t xml:space="preserve"> esta fase se establecerá la situación de la población adulta mayor en Colombia para determinar cuáles son las necesidades reales de la misma y así poder establecer la línea base de intervención.</w:t>
      </w:r>
    </w:p>
    <w:p w:rsidR="00D82903" w:rsidRPr="00D82903" w:rsidRDefault="00D82903" w:rsidP="00D82903">
      <w:pPr>
        <w:pStyle w:val="Sinespaciado"/>
        <w:jc w:val="both"/>
        <w:rPr>
          <w:rFonts w:ascii="Arial" w:hAnsi="Arial" w:cs="Arial"/>
          <w:lang w:val="es-MX"/>
        </w:rPr>
      </w:pPr>
    </w:p>
    <w:p w:rsidR="00D82903" w:rsidRPr="00D82903" w:rsidRDefault="00D82903" w:rsidP="001E2365">
      <w:pPr>
        <w:pStyle w:val="Sinespaciado"/>
        <w:numPr>
          <w:ilvl w:val="0"/>
          <w:numId w:val="44"/>
        </w:numPr>
        <w:jc w:val="both"/>
        <w:rPr>
          <w:rFonts w:ascii="Arial" w:hAnsi="Arial" w:cs="Arial"/>
          <w:lang w:val="es-MX"/>
        </w:rPr>
      </w:pPr>
      <w:r w:rsidRPr="00D82903">
        <w:rPr>
          <w:rFonts w:ascii="Arial" w:hAnsi="Arial" w:cs="Arial"/>
          <w:lang w:val="es-MX"/>
        </w:rPr>
        <w:t xml:space="preserve">Formulación:   Establecida en forma cualitativa y cuantitativa la población del adulto mayor se definirán los requisitos para acceder al programa y los criterios de priorización de los beneficiarios. </w:t>
      </w:r>
    </w:p>
    <w:p w:rsidR="00D82903" w:rsidRPr="00D82903" w:rsidRDefault="00D82903" w:rsidP="00D82903">
      <w:pPr>
        <w:pStyle w:val="Sinespaciado"/>
        <w:jc w:val="both"/>
        <w:rPr>
          <w:rFonts w:ascii="Arial" w:hAnsi="Arial" w:cs="Arial"/>
          <w:lang w:val="es-MX"/>
        </w:rPr>
      </w:pPr>
    </w:p>
    <w:p w:rsidR="00D82903" w:rsidRPr="00D82903" w:rsidRDefault="00D82903" w:rsidP="001E2365">
      <w:pPr>
        <w:pStyle w:val="Sinespaciado"/>
        <w:numPr>
          <w:ilvl w:val="0"/>
          <w:numId w:val="44"/>
        </w:numPr>
        <w:jc w:val="both"/>
        <w:rPr>
          <w:rFonts w:ascii="Arial" w:hAnsi="Arial" w:cs="Arial"/>
          <w:lang w:val="es-MX"/>
        </w:rPr>
      </w:pPr>
      <w:r w:rsidRPr="00D82903">
        <w:rPr>
          <w:rFonts w:ascii="Arial" w:hAnsi="Arial" w:cs="Arial"/>
          <w:lang w:val="es-MX"/>
        </w:rPr>
        <w:t>Implementación</w:t>
      </w:r>
      <w:r w:rsidR="004120FE" w:rsidRPr="00D82903">
        <w:rPr>
          <w:rFonts w:ascii="Arial" w:hAnsi="Arial" w:cs="Arial"/>
          <w:lang w:val="es-MX"/>
        </w:rPr>
        <w:t>: En</w:t>
      </w:r>
      <w:r w:rsidRPr="00D82903">
        <w:rPr>
          <w:rFonts w:ascii="Arial" w:hAnsi="Arial" w:cs="Arial"/>
          <w:color w:val="000000"/>
        </w:rPr>
        <w:t xml:space="preserve"> esta fase, se materializan los planes, programas y proyectos que permitirán alcanzar los objetivos y metas propuestas. Con esto, inicia el proceso de ejecución, que debe estar cimentado desde los principios de sostenibilidad, coordinación, concurrencia y subsidiaridad entre los distintos actores involucrados.</w:t>
      </w:r>
    </w:p>
    <w:p w:rsidR="004120FE" w:rsidRDefault="004120FE" w:rsidP="00D82903">
      <w:pPr>
        <w:pStyle w:val="Sinespaciado"/>
        <w:jc w:val="both"/>
        <w:rPr>
          <w:rFonts w:ascii="Arial" w:hAnsi="Arial" w:cs="Arial"/>
          <w:lang w:val="es-MX"/>
        </w:rPr>
      </w:pPr>
    </w:p>
    <w:p w:rsidR="00D82903" w:rsidRPr="00D82903" w:rsidRDefault="00D82903" w:rsidP="001E2365">
      <w:pPr>
        <w:pStyle w:val="Sinespaciado"/>
        <w:ind w:left="708"/>
        <w:jc w:val="both"/>
        <w:rPr>
          <w:rFonts w:ascii="Arial" w:hAnsi="Arial" w:cs="Arial"/>
          <w:lang w:val="es-MX"/>
        </w:rPr>
      </w:pPr>
      <w:r w:rsidRPr="00D82903">
        <w:rPr>
          <w:rFonts w:ascii="Arial" w:hAnsi="Arial" w:cs="Arial"/>
          <w:lang w:val="es-MX"/>
        </w:rPr>
        <w:t xml:space="preserve">Este proceso busca la operación integral de la Política a todos los niveles, Nacional, Departamental, Distrital y Municipal a fin de incorporar en los planes de desarrollo las acciones tendientes a mejorar las condiciones de vida de las personas adultas mayores y a crear condiciones favorables al derecho al envejecimiento activo, satisfactorio y saludable </w:t>
      </w:r>
      <w:r w:rsidR="004120FE" w:rsidRPr="00D82903">
        <w:rPr>
          <w:rFonts w:ascii="Arial" w:hAnsi="Arial" w:cs="Arial"/>
          <w:lang w:val="es-MX"/>
        </w:rPr>
        <w:t>de los</w:t>
      </w:r>
      <w:r w:rsidRPr="00D82903">
        <w:rPr>
          <w:rFonts w:ascii="Arial" w:hAnsi="Arial" w:cs="Arial"/>
          <w:lang w:val="es-MX"/>
        </w:rPr>
        <w:t xml:space="preserve"> colombianos.</w:t>
      </w:r>
    </w:p>
    <w:p w:rsidR="00D82903" w:rsidRPr="00D82903" w:rsidRDefault="00D82903" w:rsidP="00D82903">
      <w:pPr>
        <w:pStyle w:val="Sinespaciado"/>
        <w:jc w:val="both"/>
        <w:rPr>
          <w:rFonts w:ascii="Arial" w:hAnsi="Arial" w:cs="Arial"/>
          <w:lang w:val="es-MX"/>
        </w:rPr>
      </w:pPr>
    </w:p>
    <w:p w:rsidR="00D82903" w:rsidRPr="00D82903" w:rsidRDefault="00D82903" w:rsidP="001E2365">
      <w:pPr>
        <w:pStyle w:val="Sinespaciado"/>
        <w:numPr>
          <w:ilvl w:val="0"/>
          <w:numId w:val="45"/>
        </w:numPr>
        <w:jc w:val="both"/>
        <w:rPr>
          <w:rFonts w:ascii="Arial" w:hAnsi="Arial" w:cs="Arial"/>
          <w:lang w:val="es-MX"/>
        </w:rPr>
      </w:pPr>
      <w:r w:rsidRPr="00D82903">
        <w:rPr>
          <w:rFonts w:ascii="Arial" w:hAnsi="Arial" w:cs="Arial"/>
          <w:lang w:val="es-MX"/>
        </w:rPr>
        <w:t>Evaluación</w:t>
      </w:r>
      <w:r w:rsidR="004120FE" w:rsidRPr="00D82903">
        <w:rPr>
          <w:rFonts w:ascii="Arial" w:hAnsi="Arial" w:cs="Arial"/>
          <w:lang w:val="es-MX"/>
        </w:rPr>
        <w:t>: Con</w:t>
      </w:r>
      <w:r w:rsidRPr="00D82903">
        <w:rPr>
          <w:rFonts w:ascii="Arial" w:hAnsi="Arial" w:cs="Arial"/>
          <w:lang w:val="es-MX"/>
        </w:rPr>
        <w:t xml:space="preserve"> esta fase se busca verificar la ejecución del programa COLOMBIA MAYOR, el logro de los objetivos, el análisis de la ejecución presupuestal.-</w:t>
      </w:r>
    </w:p>
    <w:p w:rsidR="00D82903" w:rsidRPr="00D82903" w:rsidRDefault="00D82903" w:rsidP="00D82903">
      <w:pPr>
        <w:pStyle w:val="Sinespaciado"/>
        <w:jc w:val="both"/>
        <w:rPr>
          <w:rFonts w:ascii="Arial" w:hAnsi="Arial" w:cs="Arial"/>
          <w:lang w:val="es-MX"/>
        </w:rPr>
      </w:pPr>
    </w:p>
    <w:p w:rsidR="00D82903" w:rsidRPr="00D82903" w:rsidRDefault="00D82903" w:rsidP="00D82903">
      <w:pPr>
        <w:pStyle w:val="Sinespaciado"/>
        <w:jc w:val="both"/>
        <w:rPr>
          <w:rFonts w:ascii="Arial" w:hAnsi="Arial" w:cs="Arial"/>
          <w:lang w:val="es-MX"/>
        </w:rPr>
      </w:pPr>
      <w:r w:rsidRPr="001E2365">
        <w:rPr>
          <w:rFonts w:ascii="Arial" w:hAnsi="Arial" w:cs="Arial"/>
          <w:b/>
          <w:lang w:val="es-MX"/>
        </w:rPr>
        <w:t>Artículo 7º. LÍNEAS DE ACCIÓN</w:t>
      </w:r>
      <w:r w:rsidRPr="00D82903">
        <w:rPr>
          <w:rFonts w:ascii="Arial" w:hAnsi="Arial" w:cs="Arial"/>
          <w:lang w:val="es-MX"/>
        </w:rPr>
        <w:t xml:space="preserve">. Las líneas de acción de esta política pública son las </w:t>
      </w:r>
      <w:r w:rsidR="004120FE" w:rsidRPr="00D82903">
        <w:rPr>
          <w:rFonts w:ascii="Arial" w:hAnsi="Arial" w:cs="Arial"/>
          <w:lang w:val="es-MX"/>
        </w:rPr>
        <w:t>siguientes:</w:t>
      </w:r>
      <w:r w:rsidRPr="00D82903">
        <w:rPr>
          <w:rFonts w:ascii="Arial" w:hAnsi="Arial" w:cs="Arial"/>
          <w:lang w:val="es-MX"/>
        </w:rPr>
        <w:t xml:space="preserve"> </w:t>
      </w:r>
    </w:p>
    <w:p w:rsidR="004120FE" w:rsidRDefault="004120FE" w:rsidP="00D82903">
      <w:pPr>
        <w:pStyle w:val="Sinespaciado"/>
        <w:jc w:val="both"/>
        <w:rPr>
          <w:rFonts w:ascii="Arial" w:hAnsi="Arial" w:cs="Arial"/>
          <w:lang w:val="es-MX"/>
        </w:rPr>
      </w:pPr>
    </w:p>
    <w:p w:rsidR="00D82903" w:rsidRPr="00D82903" w:rsidRDefault="00D82903" w:rsidP="00D82903">
      <w:pPr>
        <w:pStyle w:val="Sinespaciado"/>
        <w:jc w:val="both"/>
        <w:rPr>
          <w:rFonts w:ascii="Arial" w:hAnsi="Arial" w:cs="Arial"/>
          <w:lang w:val="es-MX"/>
        </w:rPr>
      </w:pPr>
      <w:r w:rsidRPr="00D82903">
        <w:rPr>
          <w:rFonts w:ascii="Arial" w:hAnsi="Arial" w:cs="Arial"/>
          <w:lang w:val="es-MX"/>
        </w:rPr>
        <w:t>1.</w:t>
      </w:r>
      <w:r w:rsidR="004120FE">
        <w:rPr>
          <w:rFonts w:ascii="Arial" w:hAnsi="Arial" w:cs="Arial"/>
          <w:lang w:val="es-MX"/>
        </w:rPr>
        <w:t xml:space="preserve"> </w:t>
      </w:r>
      <w:r w:rsidRPr="00D82903">
        <w:rPr>
          <w:rFonts w:ascii="Arial" w:hAnsi="Arial" w:cs="Arial"/>
          <w:lang w:val="es-MX"/>
        </w:rPr>
        <w:t>Gestión integral</w:t>
      </w:r>
      <w:r w:rsidR="004120FE" w:rsidRPr="00D82903">
        <w:rPr>
          <w:rFonts w:ascii="Arial" w:hAnsi="Arial" w:cs="Arial"/>
          <w:lang w:val="es-MX"/>
        </w:rPr>
        <w:t>: La</w:t>
      </w:r>
      <w:r w:rsidRPr="00D82903">
        <w:rPr>
          <w:rFonts w:ascii="Arial" w:hAnsi="Arial" w:cs="Arial"/>
          <w:lang w:val="es-MX"/>
        </w:rPr>
        <w:t xml:space="preserve"> política de Colombia Mayor se debe efectuar bajo la premisa del trabajo colaborativo entre todas las entidades que hacen parte de la Comisión intersectorial para el adulto mayor.   Esto con el fin de incidir de manera activa, a nivel intersectorial y territorial, público y privado, sobre las condiciones de desarrollo social, político, económico y cultural de los individuos, la familia y la sociedad, como medio para propiciar que las personas adultas mayores de hoy y del futuro alcancen una vejez autónoma, digna e integrada, dentro del marco de la promoción, realización y restitución de los derechos humanos.</w:t>
      </w:r>
    </w:p>
    <w:p w:rsidR="004120FE" w:rsidRDefault="004120FE" w:rsidP="00D82903">
      <w:pPr>
        <w:pStyle w:val="Sinespaciado"/>
        <w:jc w:val="both"/>
        <w:rPr>
          <w:rFonts w:ascii="Arial" w:hAnsi="Arial" w:cs="Arial"/>
          <w:lang w:val="es-MX"/>
        </w:rPr>
      </w:pPr>
    </w:p>
    <w:p w:rsidR="00D82903" w:rsidRPr="00D82903" w:rsidRDefault="00D82903" w:rsidP="00D82903">
      <w:pPr>
        <w:pStyle w:val="Sinespaciado"/>
        <w:jc w:val="both"/>
        <w:rPr>
          <w:rFonts w:ascii="Arial" w:hAnsi="Arial" w:cs="Arial"/>
          <w:lang w:val="es-MX"/>
        </w:rPr>
      </w:pPr>
      <w:r w:rsidRPr="00D82903">
        <w:rPr>
          <w:rFonts w:ascii="Arial" w:hAnsi="Arial" w:cs="Arial"/>
          <w:lang w:val="es-MX"/>
        </w:rPr>
        <w:t xml:space="preserve">Crear condiciones para el envejecimiento humano de los colombianos, </w:t>
      </w:r>
      <w:r w:rsidR="004120FE" w:rsidRPr="00D82903">
        <w:rPr>
          <w:rFonts w:ascii="Arial" w:hAnsi="Arial" w:cs="Arial"/>
          <w:lang w:val="es-MX"/>
        </w:rPr>
        <w:t>entendido como</w:t>
      </w:r>
      <w:r w:rsidRPr="00D82903">
        <w:rPr>
          <w:rFonts w:ascii="Arial" w:hAnsi="Arial" w:cs="Arial"/>
          <w:lang w:val="es-MX"/>
        </w:rPr>
        <w:t xml:space="preserve"> el derecho, en condiciones de igualdad, a una vida autónoma, digna, larga </w:t>
      </w:r>
      <w:r w:rsidR="004120FE" w:rsidRPr="00D82903">
        <w:rPr>
          <w:rFonts w:ascii="Arial" w:hAnsi="Arial" w:cs="Arial"/>
          <w:lang w:val="es-MX"/>
        </w:rPr>
        <w:t>y saludable</w:t>
      </w:r>
      <w:r w:rsidRPr="00D82903">
        <w:rPr>
          <w:rFonts w:ascii="Arial" w:hAnsi="Arial" w:cs="Arial"/>
          <w:lang w:val="es-MX"/>
        </w:rPr>
        <w:t>, consistente con el principio de corresponsabilidad individual, familiar y social.</w:t>
      </w:r>
    </w:p>
    <w:p w:rsidR="00D82903" w:rsidRPr="00D82903" w:rsidRDefault="00D82903" w:rsidP="00D82903">
      <w:pPr>
        <w:pStyle w:val="Sinespaciado"/>
        <w:jc w:val="both"/>
        <w:rPr>
          <w:rFonts w:ascii="Arial" w:hAnsi="Arial" w:cs="Arial"/>
          <w:lang w:val="es-MX"/>
        </w:rPr>
      </w:pPr>
      <w:r w:rsidRPr="00D82903">
        <w:rPr>
          <w:rFonts w:ascii="Arial" w:hAnsi="Arial" w:cs="Arial"/>
          <w:lang w:val="es-MX"/>
        </w:rPr>
        <w:t>2. Gestión territorial:   La implementación se debe hacer a partir de las competencias que Alcaldes y Gobernadores tienen para este fin y su alcance y propósito deben estar en coherencia con lo definido en el marco de Política Nacional.</w:t>
      </w:r>
    </w:p>
    <w:p w:rsidR="004120FE" w:rsidRDefault="004120FE" w:rsidP="00D82903">
      <w:pPr>
        <w:pStyle w:val="Sinespaciado"/>
        <w:jc w:val="both"/>
        <w:rPr>
          <w:rFonts w:ascii="Arial" w:hAnsi="Arial" w:cs="Arial"/>
          <w:lang w:val="es-MX"/>
        </w:rPr>
      </w:pPr>
    </w:p>
    <w:p w:rsidR="00D82903" w:rsidRPr="00D82903" w:rsidRDefault="00D82903" w:rsidP="00D82903">
      <w:pPr>
        <w:pStyle w:val="Sinespaciado"/>
        <w:jc w:val="both"/>
        <w:rPr>
          <w:rFonts w:ascii="Arial" w:hAnsi="Arial" w:cs="Arial"/>
          <w:lang w:val="es-MX"/>
        </w:rPr>
      </w:pPr>
      <w:r w:rsidRPr="00D82903">
        <w:rPr>
          <w:rFonts w:ascii="Arial" w:hAnsi="Arial" w:cs="Arial"/>
          <w:lang w:val="es-MX"/>
        </w:rPr>
        <w:t xml:space="preserve">3. Comisión Intersectorial para el adulto mayor:   Tiene como objetivo coordinar y armonizar las políticas, planes, programas y acciones necesarias para la ejecución de la atención integral al adulto mayor en Colombia.   </w:t>
      </w:r>
    </w:p>
    <w:p w:rsidR="004120FE" w:rsidRDefault="004120FE" w:rsidP="00D82903">
      <w:pPr>
        <w:pStyle w:val="Sinespaciado"/>
        <w:jc w:val="both"/>
        <w:rPr>
          <w:rFonts w:ascii="Arial" w:hAnsi="Arial" w:cs="Arial"/>
          <w:lang w:val="es-MX"/>
        </w:rPr>
      </w:pPr>
    </w:p>
    <w:p w:rsidR="001E2365" w:rsidRDefault="00D82903" w:rsidP="00D82903">
      <w:pPr>
        <w:pStyle w:val="Sinespaciado"/>
        <w:jc w:val="both"/>
        <w:rPr>
          <w:rFonts w:ascii="Arial" w:hAnsi="Arial" w:cs="Arial"/>
          <w:lang w:val="es-MX"/>
        </w:rPr>
      </w:pPr>
      <w:r w:rsidRPr="00D82903">
        <w:rPr>
          <w:rFonts w:ascii="Arial" w:hAnsi="Arial" w:cs="Arial"/>
          <w:lang w:val="es-MX"/>
        </w:rPr>
        <w:t>La Comisión Intersectorial estará integrada así:</w:t>
      </w:r>
    </w:p>
    <w:p w:rsidR="00D82903" w:rsidRPr="00D82903" w:rsidRDefault="00D82903" w:rsidP="00D82903">
      <w:pPr>
        <w:pStyle w:val="Sinespaciado"/>
        <w:jc w:val="both"/>
        <w:rPr>
          <w:rFonts w:ascii="Arial" w:hAnsi="Arial" w:cs="Arial"/>
          <w:lang w:val="es-MX"/>
        </w:rPr>
      </w:pPr>
      <w:r w:rsidRPr="00D82903">
        <w:rPr>
          <w:rFonts w:ascii="Arial" w:hAnsi="Arial" w:cs="Arial"/>
          <w:lang w:val="es-MX"/>
        </w:rPr>
        <w:t xml:space="preserve"> </w:t>
      </w:r>
    </w:p>
    <w:p w:rsidR="00D82903" w:rsidRPr="00D82903" w:rsidRDefault="00D82903" w:rsidP="00D82903">
      <w:pPr>
        <w:pStyle w:val="Sinespaciado"/>
        <w:jc w:val="both"/>
        <w:rPr>
          <w:rFonts w:ascii="Arial" w:hAnsi="Arial" w:cs="Arial"/>
          <w:lang w:val="es-MX"/>
        </w:rPr>
      </w:pPr>
      <w:r w:rsidRPr="00D82903">
        <w:rPr>
          <w:rFonts w:ascii="Arial" w:hAnsi="Arial" w:cs="Arial"/>
          <w:lang w:val="es-MX"/>
        </w:rPr>
        <w:t>1. Un delegado del Presidente de la República;</w:t>
      </w:r>
    </w:p>
    <w:p w:rsidR="00D82903" w:rsidRPr="00D82903" w:rsidRDefault="00D82903" w:rsidP="00D82903">
      <w:pPr>
        <w:pStyle w:val="Sinespaciado"/>
        <w:jc w:val="both"/>
        <w:rPr>
          <w:rFonts w:ascii="Arial" w:hAnsi="Arial" w:cs="Arial"/>
          <w:lang w:val="es-MX"/>
        </w:rPr>
      </w:pPr>
      <w:r w:rsidRPr="00D82903">
        <w:rPr>
          <w:rFonts w:ascii="Arial" w:hAnsi="Arial" w:cs="Arial"/>
          <w:lang w:val="es-MX"/>
        </w:rPr>
        <w:t xml:space="preserve">2. El Ministro de Salud y Protección Social o su delegado que deberá ser </w:t>
      </w:r>
      <w:r w:rsidR="004120FE" w:rsidRPr="00D82903">
        <w:rPr>
          <w:rFonts w:ascii="Arial" w:hAnsi="Arial" w:cs="Arial"/>
          <w:lang w:val="es-MX"/>
        </w:rPr>
        <w:t>un Viceministro</w:t>
      </w:r>
      <w:r w:rsidRPr="00D82903">
        <w:rPr>
          <w:rFonts w:ascii="Arial" w:hAnsi="Arial" w:cs="Arial"/>
          <w:lang w:val="es-MX"/>
        </w:rPr>
        <w:t>;</w:t>
      </w:r>
    </w:p>
    <w:p w:rsidR="00D82903" w:rsidRPr="00D82903" w:rsidRDefault="00D82903" w:rsidP="00D82903">
      <w:pPr>
        <w:pStyle w:val="Sinespaciado"/>
        <w:jc w:val="both"/>
        <w:rPr>
          <w:rFonts w:ascii="Arial" w:hAnsi="Arial" w:cs="Arial"/>
          <w:lang w:val="es-MX"/>
        </w:rPr>
      </w:pPr>
      <w:r w:rsidRPr="00D82903">
        <w:rPr>
          <w:rFonts w:ascii="Arial" w:hAnsi="Arial" w:cs="Arial"/>
          <w:lang w:val="es-MX"/>
        </w:rPr>
        <w:t xml:space="preserve">3. El Ministro de Trabajo o su delegado que deberá ser </w:t>
      </w:r>
      <w:r w:rsidR="004120FE" w:rsidRPr="00D82903">
        <w:rPr>
          <w:rFonts w:ascii="Arial" w:hAnsi="Arial" w:cs="Arial"/>
          <w:lang w:val="es-MX"/>
        </w:rPr>
        <w:t>un Viceministro</w:t>
      </w:r>
      <w:r w:rsidRPr="00D82903">
        <w:rPr>
          <w:rFonts w:ascii="Arial" w:hAnsi="Arial" w:cs="Arial"/>
          <w:lang w:val="es-MX"/>
        </w:rPr>
        <w:t>;</w:t>
      </w:r>
    </w:p>
    <w:p w:rsidR="00D82903" w:rsidRPr="00D82903" w:rsidRDefault="00D82903" w:rsidP="00D82903">
      <w:pPr>
        <w:pStyle w:val="Sinespaciado"/>
        <w:jc w:val="both"/>
        <w:rPr>
          <w:rFonts w:ascii="Arial" w:hAnsi="Arial" w:cs="Arial"/>
          <w:lang w:val="es-MX"/>
        </w:rPr>
      </w:pPr>
      <w:r w:rsidRPr="00D82903">
        <w:rPr>
          <w:rFonts w:ascii="Arial" w:hAnsi="Arial" w:cs="Arial"/>
          <w:lang w:val="es-MX"/>
        </w:rPr>
        <w:t>4. El Ministro</w:t>
      </w:r>
      <w:r w:rsidR="004120FE">
        <w:rPr>
          <w:rFonts w:ascii="Arial" w:hAnsi="Arial" w:cs="Arial"/>
          <w:lang w:val="es-MX"/>
        </w:rPr>
        <w:t xml:space="preserve"> de Hacienda y Crédito Público </w:t>
      </w:r>
      <w:r w:rsidRPr="00D82903">
        <w:rPr>
          <w:rFonts w:ascii="Arial" w:hAnsi="Arial" w:cs="Arial"/>
          <w:lang w:val="es-MX"/>
        </w:rPr>
        <w:t>o su delegado que deberá ser un Viceministro;</w:t>
      </w:r>
    </w:p>
    <w:p w:rsidR="00D82903" w:rsidRPr="00D82903" w:rsidRDefault="00D82903" w:rsidP="00D82903">
      <w:pPr>
        <w:pStyle w:val="Sinespaciado"/>
        <w:jc w:val="both"/>
        <w:rPr>
          <w:rFonts w:ascii="Arial" w:hAnsi="Arial" w:cs="Arial"/>
          <w:lang w:val="es-MX"/>
        </w:rPr>
      </w:pPr>
      <w:r w:rsidRPr="00D82903">
        <w:rPr>
          <w:rFonts w:ascii="Arial" w:hAnsi="Arial" w:cs="Arial"/>
          <w:lang w:val="es-MX"/>
        </w:rPr>
        <w:t>5. El Ministro de Educación o su delegado que deberá ser un Viceministro</w:t>
      </w:r>
    </w:p>
    <w:p w:rsidR="00D82903" w:rsidRPr="00D82903" w:rsidRDefault="00D82903" w:rsidP="00D82903">
      <w:pPr>
        <w:pStyle w:val="Sinespaciado"/>
        <w:jc w:val="both"/>
        <w:rPr>
          <w:rFonts w:ascii="Arial" w:hAnsi="Arial" w:cs="Arial"/>
          <w:lang w:val="es-MX"/>
        </w:rPr>
      </w:pPr>
      <w:r w:rsidRPr="00D82903">
        <w:rPr>
          <w:rFonts w:ascii="Arial" w:hAnsi="Arial" w:cs="Arial"/>
          <w:lang w:val="es-MX"/>
        </w:rPr>
        <w:t>6. El Director General del Departamento Nacional de Planeación o su delegado, quien deberá pertenecer al nivel directivo de la entidad;</w:t>
      </w:r>
    </w:p>
    <w:p w:rsidR="00D82903" w:rsidRPr="00D82903" w:rsidRDefault="00D82903" w:rsidP="00D82903">
      <w:pPr>
        <w:pStyle w:val="Sinespaciado"/>
        <w:jc w:val="both"/>
        <w:rPr>
          <w:rFonts w:ascii="Arial" w:hAnsi="Arial" w:cs="Arial"/>
          <w:lang w:val="es-MX"/>
        </w:rPr>
      </w:pPr>
      <w:r w:rsidRPr="00D82903">
        <w:rPr>
          <w:rFonts w:ascii="Arial" w:hAnsi="Arial" w:cs="Arial"/>
          <w:lang w:val="es-MX"/>
        </w:rPr>
        <w:t>7. El Director del Departamento Administrativo de la Prosperidad Social o su delegado quien deberá pertenecer al nivel directivo;</w:t>
      </w:r>
    </w:p>
    <w:p w:rsidR="00D82903" w:rsidRPr="00D82903" w:rsidRDefault="00D82903" w:rsidP="00D82903">
      <w:pPr>
        <w:pStyle w:val="Sinespaciado"/>
        <w:jc w:val="both"/>
        <w:rPr>
          <w:rFonts w:ascii="Arial" w:hAnsi="Arial" w:cs="Arial"/>
          <w:lang w:val="es-MX"/>
        </w:rPr>
      </w:pPr>
      <w:r w:rsidRPr="00D82903">
        <w:rPr>
          <w:rFonts w:ascii="Arial" w:hAnsi="Arial" w:cs="Arial"/>
          <w:lang w:val="es-MX"/>
        </w:rPr>
        <w:t>8. El Director de Coldeportes o su delegado quien deberá pertenecer al nivel directivo;</w:t>
      </w:r>
    </w:p>
    <w:p w:rsidR="00D82903" w:rsidRPr="00D82903" w:rsidRDefault="00D82903" w:rsidP="00D82903">
      <w:pPr>
        <w:pStyle w:val="Sinespaciado"/>
        <w:jc w:val="both"/>
        <w:rPr>
          <w:rFonts w:ascii="Arial" w:hAnsi="Arial" w:cs="Arial"/>
          <w:lang w:val="es-MX"/>
        </w:rPr>
      </w:pPr>
      <w:r w:rsidRPr="00D82903">
        <w:rPr>
          <w:rFonts w:ascii="Arial" w:hAnsi="Arial" w:cs="Arial"/>
          <w:lang w:val="es-MX"/>
        </w:rPr>
        <w:t xml:space="preserve"> </w:t>
      </w:r>
    </w:p>
    <w:p w:rsidR="00D82903" w:rsidRPr="00D82903" w:rsidRDefault="00D82903" w:rsidP="00D82903">
      <w:pPr>
        <w:pStyle w:val="Sinespaciado"/>
        <w:jc w:val="both"/>
        <w:rPr>
          <w:rFonts w:ascii="Arial" w:hAnsi="Arial" w:cs="Arial"/>
          <w:lang w:val="es-MX"/>
        </w:rPr>
      </w:pPr>
      <w:r w:rsidRPr="00D82903">
        <w:rPr>
          <w:rFonts w:ascii="Arial" w:hAnsi="Arial" w:cs="Arial"/>
          <w:lang w:val="es-MX"/>
        </w:rPr>
        <w:t xml:space="preserve">La Presidencia de la República presidirá la Comisión Intersectorial y hará la coordinación de la Política para el Desarrollo Integral del adulto mayor. </w:t>
      </w:r>
    </w:p>
    <w:p w:rsidR="00D82903" w:rsidRPr="00D82903" w:rsidRDefault="00D82903" w:rsidP="00D82903">
      <w:pPr>
        <w:pStyle w:val="Sinespaciado"/>
        <w:jc w:val="both"/>
        <w:rPr>
          <w:rFonts w:ascii="Arial" w:hAnsi="Arial" w:cs="Arial"/>
          <w:lang w:val="es-MX"/>
        </w:rPr>
      </w:pPr>
    </w:p>
    <w:p w:rsidR="00D82903" w:rsidRPr="004120FE" w:rsidRDefault="00D82903" w:rsidP="004120FE">
      <w:pPr>
        <w:pStyle w:val="Sinespaciado"/>
        <w:jc w:val="center"/>
        <w:rPr>
          <w:rFonts w:ascii="Arial" w:hAnsi="Arial" w:cs="Arial"/>
          <w:b/>
          <w:lang w:val="es-MX"/>
        </w:rPr>
      </w:pPr>
      <w:r w:rsidRPr="004120FE">
        <w:rPr>
          <w:rFonts w:ascii="Arial" w:hAnsi="Arial" w:cs="Arial"/>
          <w:b/>
          <w:lang w:val="es-MX"/>
        </w:rPr>
        <w:t>TÍTULO III</w:t>
      </w:r>
    </w:p>
    <w:p w:rsidR="004120FE" w:rsidRDefault="004120FE" w:rsidP="004120FE">
      <w:pPr>
        <w:pStyle w:val="Sinespaciado"/>
        <w:jc w:val="center"/>
        <w:rPr>
          <w:rFonts w:ascii="Arial" w:hAnsi="Arial" w:cs="Arial"/>
          <w:b/>
          <w:lang w:val="es-MX"/>
        </w:rPr>
      </w:pPr>
    </w:p>
    <w:p w:rsidR="00D82903" w:rsidRPr="00D82903" w:rsidRDefault="004120FE" w:rsidP="004120FE">
      <w:pPr>
        <w:pStyle w:val="Sinespaciado"/>
        <w:jc w:val="center"/>
        <w:rPr>
          <w:rFonts w:ascii="Arial" w:hAnsi="Arial" w:cs="Arial"/>
          <w:lang w:val="es-MX"/>
        </w:rPr>
      </w:pPr>
      <w:r w:rsidRPr="004120FE">
        <w:rPr>
          <w:rFonts w:ascii="Arial" w:hAnsi="Arial" w:cs="Arial"/>
          <w:b/>
          <w:lang w:val="es-MX"/>
        </w:rPr>
        <w:t>COMPETENCIAS INSTITUCIONALES</w:t>
      </w:r>
    </w:p>
    <w:p w:rsidR="00D82903" w:rsidRPr="00D82903" w:rsidRDefault="00D82903" w:rsidP="00D82903">
      <w:pPr>
        <w:pStyle w:val="Sinespaciado"/>
        <w:jc w:val="both"/>
        <w:rPr>
          <w:rFonts w:ascii="Arial" w:hAnsi="Arial" w:cs="Arial"/>
          <w:lang w:val="es-MX"/>
        </w:rPr>
      </w:pPr>
    </w:p>
    <w:p w:rsidR="00D82903" w:rsidRPr="00D82903" w:rsidRDefault="00D82903" w:rsidP="00D82903">
      <w:pPr>
        <w:pStyle w:val="Sinespaciado"/>
        <w:jc w:val="both"/>
        <w:rPr>
          <w:rFonts w:ascii="Arial" w:hAnsi="Arial" w:cs="Arial"/>
          <w:lang w:val="es-MX"/>
        </w:rPr>
      </w:pPr>
      <w:r w:rsidRPr="001E2365">
        <w:rPr>
          <w:rFonts w:ascii="Arial" w:hAnsi="Arial" w:cs="Arial"/>
          <w:b/>
          <w:lang w:val="es-MX"/>
        </w:rPr>
        <w:t>Artículo 8º</w:t>
      </w:r>
      <w:r w:rsidRPr="00D82903">
        <w:rPr>
          <w:rFonts w:ascii="Arial" w:hAnsi="Arial" w:cs="Arial"/>
          <w:lang w:val="es-MX"/>
        </w:rPr>
        <w:t xml:space="preserve">.  La Presidencia de la República será la encargada de coordinar la política para el desarrollo integral del adulto mayor. </w:t>
      </w:r>
    </w:p>
    <w:p w:rsidR="00D82903" w:rsidRPr="00D82903" w:rsidRDefault="00D82903" w:rsidP="00D82903">
      <w:pPr>
        <w:pStyle w:val="Sinespaciado"/>
        <w:jc w:val="both"/>
        <w:rPr>
          <w:rFonts w:ascii="Arial" w:hAnsi="Arial" w:cs="Arial"/>
          <w:lang w:val="es-MX"/>
        </w:rPr>
      </w:pPr>
    </w:p>
    <w:p w:rsidR="00D82903" w:rsidRPr="00D82903" w:rsidRDefault="00D82903" w:rsidP="00D82903">
      <w:pPr>
        <w:pStyle w:val="Sinespaciado"/>
        <w:jc w:val="both"/>
        <w:rPr>
          <w:rFonts w:ascii="Arial" w:hAnsi="Arial" w:cs="Arial"/>
          <w:lang w:val="es-MX"/>
        </w:rPr>
      </w:pPr>
      <w:r w:rsidRPr="004120FE">
        <w:rPr>
          <w:rFonts w:ascii="Arial" w:hAnsi="Arial" w:cs="Arial"/>
          <w:b/>
          <w:lang w:val="es-MX"/>
        </w:rPr>
        <w:t>Artículo 9º. COMPETENCIA DEL DEPARTAMENTO NACIONAL DE PLANEACIÓN</w:t>
      </w:r>
      <w:r w:rsidRPr="00D82903">
        <w:rPr>
          <w:rFonts w:ascii="Arial" w:hAnsi="Arial" w:cs="Arial"/>
          <w:lang w:val="es-MX"/>
        </w:rPr>
        <w:t>. El Departamento Nacional de Planeación acompañará técnicamente el desarrollo de la política para la atención primaria a las necesidades económicas del Adulto Mayor, en sus componentes financieros, territoriales y de política pública.</w:t>
      </w:r>
    </w:p>
    <w:p w:rsidR="00D82903" w:rsidRPr="00D82903" w:rsidRDefault="00D82903" w:rsidP="00D82903">
      <w:pPr>
        <w:pStyle w:val="Sinespaciado"/>
        <w:jc w:val="both"/>
        <w:rPr>
          <w:rFonts w:ascii="Arial" w:hAnsi="Arial" w:cs="Arial"/>
          <w:lang w:val="es-MX"/>
        </w:rPr>
      </w:pPr>
    </w:p>
    <w:p w:rsidR="00D82903" w:rsidRPr="00D82903" w:rsidRDefault="00D82903" w:rsidP="00D82903">
      <w:pPr>
        <w:pStyle w:val="Sinespaciado"/>
        <w:jc w:val="both"/>
        <w:rPr>
          <w:rFonts w:ascii="Arial" w:hAnsi="Arial" w:cs="Arial"/>
          <w:lang w:val="es-MX"/>
        </w:rPr>
      </w:pPr>
      <w:r w:rsidRPr="004120FE">
        <w:rPr>
          <w:rFonts w:ascii="Arial" w:hAnsi="Arial" w:cs="Arial"/>
          <w:b/>
          <w:lang w:val="es-MX"/>
        </w:rPr>
        <w:t>Artículo 10°.  COMPETENCIA DEL DEPARTAMENTO PARA LA PROSPERIDAD SOCIAL</w:t>
      </w:r>
      <w:r w:rsidRPr="00D82903">
        <w:rPr>
          <w:rFonts w:ascii="Arial" w:hAnsi="Arial" w:cs="Arial"/>
          <w:lang w:val="es-MX"/>
        </w:rPr>
        <w:t xml:space="preserve">. De acuerdo con su naturaleza, dentro de la política para el Desarrollo Integral del adulto mayor apoyará sus procesos de territorialización, propenderá por la articulación de acciones con los programas gubernamentales dirigidos a la erradicación de la pobreza extrema, el manejo de víctimas, entre otras condiciones de vulneración. Le corresponderá igualmente ajustar su oferta de servicios a la Política para el Desarrollo Integral del adulto mayor. </w:t>
      </w:r>
    </w:p>
    <w:p w:rsidR="00D82903" w:rsidRPr="00D82903" w:rsidRDefault="00D82903" w:rsidP="00D82903">
      <w:pPr>
        <w:pStyle w:val="Sinespaciado"/>
        <w:jc w:val="both"/>
        <w:rPr>
          <w:rFonts w:ascii="Arial" w:hAnsi="Arial" w:cs="Arial"/>
          <w:lang w:val="es-MX"/>
        </w:rPr>
      </w:pPr>
    </w:p>
    <w:p w:rsidR="00D82903" w:rsidRPr="00D82903" w:rsidRDefault="00D82903" w:rsidP="00D82903">
      <w:pPr>
        <w:pStyle w:val="Sinespaciado"/>
        <w:jc w:val="both"/>
        <w:rPr>
          <w:rFonts w:ascii="Arial" w:hAnsi="Arial" w:cs="Arial"/>
          <w:lang w:val="es-MX"/>
        </w:rPr>
      </w:pPr>
      <w:r w:rsidRPr="004120FE">
        <w:rPr>
          <w:rFonts w:ascii="Arial" w:hAnsi="Arial" w:cs="Arial"/>
          <w:b/>
          <w:lang w:val="es-MX"/>
        </w:rPr>
        <w:t>Artículo 11°.</w:t>
      </w:r>
      <w:r w:rsidRPr="00D82903">
        <w:rPr>
          <w:rFonts w:ascii="Arial" w:hAnsi="Arial" w:cs="Arial"/>
          <w:lang w:val="es-MX"/>
        </w:rPr>
        <w:t xml:space="preserve">  </w:t>
      </w:r>
      <w:r w:rsidRPr="004120FE">
        <w:rPr>
          <w:rFonts w:ascii="Arial" w:hAnsi="Arial" w:cs="Arial"/>
          <w:b/>
          <w:lang w:val="es-MX"/>
        </w:rPr>
        <w:t>COMPETENCIA DEL MINISTERIO DE SALUD Y PROTECCIÓN SOCIAL</w:t>
      </w:r>
      <w:r w:rsidRPr="00D82903">
        <w:rPr>
          <w:rFonts w:ascii="Arial" w:hAnsi="Arial" w:cs="Arial"/>
          <w:lang w:val="es-MX"/>
        </w:rPr>
        <w:t xml:space="preserve">. Formulará e implementará políticas, planes, programas y proyectos para la promoción de la salud del adulto mayor y la vigilancia en la salud pública. Asimismo, dará directrices para el aseguramiento y atención con enfoque de atención primaria en los servicios de salud destinados al adulto mayor, definiendo los estándares de calidad para el sector, regulará la prestación de servicios, y hará inspección, vigilancia y control al Sistema General de Seguridad Social en Salud a través de las entidades territoriales. </w:t>
      </w:r>
    </w:p>
    <w:p w:rsidR="00D82903" w:rsidRPr="00D82903" w:rsidRDefault="00D82903" w:rsidP="00D82903">
      <w:pPr>
        <w:pStyle w:val="Sinespaciado"/>
        <w:jc w:val="both"/>
        <w:rPr>
          <w:rFonts w:ascii="Arial" w:hAnsi="Arial" w:cs="Arial"/>
          <w:lang w:val="es-MX"/>
        </w:rPr>
      </w:pPr>
      <w:r w:rsidRPr="004120FE">
        <w:rPr>
          <w:rFonts w:ascii="Arial" w:hAnsi="Arial" w:cs="Arial"/>
          <w:b/>
          <w:lang w:val="es-MX"/>
        </w:rPr>
        <w:t>Artículo 12°.   COMPETENCIA DEL MINISTERIO DE TRABAJO</w:t>
      </w:r>
      <w:r w:rsidRPr="00D82903">
        <w:rPr>
          <w:rFonts w:ascii="Arial" w:hAnsi="Arial" w:cs="Arial"/>
          <w:lang w:val="es-MX"/>
        </w:rPr>
        <w:t>.  El Ministerio del Trabajo tiene competencias y obligaciones legales dirigidas al diseño y desarrollo de políticas y estrategias de trabajo y empleo, pensiones, servicios sociales complementarios, y otras prestaciones y beneficios económicos como son los subsidios.  Las anteriores obligaciones y competencias se estructuran a través de un Sistema de Protección para la Vejez universal, incluyente y equitativo, que busque aumentar gradualmente la cobertura que tienen los mecanismos vigentes de protección a la vejez y lograr que cada vez más personas mejoren sus condiciones de vida al final de su ciclo productivo.</w:t>
      </w:r>
      <w:r w:rsidRPr="00D82903">
        <w:rPr>
          <w:rFonts w:ascii="Arial" w:hAnsi="Arial" w:cs="Arial"/>
          <w:lang w:val="es-MX"/>
        </w:rPr>
        <w:cr/>
      </w:r>
    </w:p>
    <w:p w:rsidR="00D82903" w:rsidRPr="00D82903" w:rsidRDefault="00D82903" w:rsidP="00D82903">
      <w:pPr>
        <w:pStyle w:val="Sinespaciado"/>
        <w:jc w:val="both"/>
        <w:rPr>
          <w:rFonts w:ascii="Arial" w:hAnsi="Arial" w:cs="Arial"/>
          <w:lang w:val="es-MX"/>
        </w:rPr>
      </w:pPr>
      <w:r w:rsidRPr="004120FE">
        <w:rPr>
          <w:rFonts w:ascii="Arial" w:hAnsi="Arial" w:cs="Arial"/>
          <w:b/>
          <w:lang w:val="es-MX"/>
        </w:rPr>
        <w:lastRenderedPageBreak/>
        <w:t>Artículo 13º. COMPETENCIA DEL DEPARTAMENTO ADMINISTRATIVO DEL DEPORTE, LA RECREACIÓN, LA ACTIVIDAD FÍSICA Y EL APROVECHAMIENTO DEL TIEMPO LIBRE (COLDEPORTES)</w:t>
      </w:r>
      <w:r w:rsidRPr="00D82903">
        <w:rPr>
          <w:rFonts w:ascii="Arial" w:hAnsi="Arial" w:cs="Arial"/>
          <w:lang w:val="es-MX"/>
        </w:rPr>
        <w:t xml:space="preserve">.  A </w:t>
      </w:r>
      <w:r w:rsidR="004120FE" w:rsidRPr="00D82903">
        <w:rPr>
          <w:rFonts w:ascii="Arial" w:hAnsi="Arial" w:cs="Arial"/>
          <w:lang w:val="es-MX"/>
        </w:rPr>
        <w:t>Coldeportes</w:t>
      </w:r>
      <w:r w:rsidR="004120FE" w:rsidRPr="00D82903">
        <w:rPr>
          <w:rFonts w:ascii="Arial" w:hAnsi="Arial" w:cs="Arial"/>
        </w:rPr>
        <w:t xml:space="preserve"> </w:t>
      </w:r>
      <w:r w:rsidR="004120FE" w:rsidRPr="00D82903">
        <w:rPr>
          <w:rFonts w:ascii="Arial" w:hAnsi="Arial" w:cs="Arial"/>
          <w:lang w:val="es-MX"/>
        </w:rPr>
        <w:t>le</w:t>
      </w:r>
      <w:r w:rsidRPr="00D82903">
        <w:rPr>
          <w:rFonts w:ascii="Arial" w:hAnsi="Arial" w:cs="Arial"/>
          <w:lang w:val="es-MX"/>
        </w:rPr>
        <w:t xml:space="preserve"> corresponde </w:t>
      </w:r>
      <w:r w:rsidR="004120FE" w:rsidRPr="00D82903">
        <w:rPr>
          <w:rFonts w:ascii="Arial" w:hAnsi="Arial" w:cs="Arial"/>
          <w:lang w:val="es-MX"/>
        </w:rPr>
        <w:t>promover la</w:t>
      </w:r>
      <w:r w:rsidRPr="00D82903">
        <w:rPr>
          <w:rFonts w:ascii="Arial" w:hAnsi="Arial" w:cs="Arial"/>
          <w:lang w:val="es-MX"/>
        </w:rPr>
        <w:t xml:space="preserve"> actividad física y la participación de las personas adultas mayores en competencias deportivas y gestionar los programas nacionales de </w:t>
      </w:r>
      <w:r w:rsidR="004120FE" w:rsidRPr="00D82903">
        <w:rPr>
          <w:rFonts w:ascii="Arial" w:hAnsi="Arial" w:cs="Arial"/>
          <w:lang w:val="es-MX"/>
        </w:rPr>
        <w:t>actividad física</w:t>
      </w:r>
      <w:r w:rsidRPr="00D82903">
        <w:rPr>
          <w:rFonts w:ascii="Arial" w:hAnsi="Arial" w:cs="Arial"/>
          <w:lang w:val="es-MX"/>
        </w:rPr>
        <w:t>, recreación y deporte.</w:t>
      </w:r>
      <w:r w:rsidRPr="00D82903">
        <w:rPr>
          <w:rFonts w:ascii="Arial" w:hAnsi="Arial" w:cs="Arial"/>
          <w:lang w:val="es-MX"/>
        </w:rPr>
        <w:cr/>
      </w:r>
    </w:p>
    <w:p w:rsidR="00D82903" w:rsidRPr="00D82903" w:rsidRDefault="00D82903" w:rsidP="00D82903">
      <w:pPr>
        <w:pStyle w:val="Sinespaciado"/>
        <w:jc w:val="both"/>
        <w:rPr>
          <w:rFonts w:ascii="Arial" w:hAnsi="Arial" w:cs="Arial"/>
          <w:lang w:val="es-MX"/>
        </w:rPr>
      </w:pPr>
      <w:r w:rsidRPr="004120FE">
        <w:rPr>
          <w:rFonts w:ascii="Arial" w:hAnsi="Arial" w:cs="Arial"/>
          <w:b/>
          <w:lang w:val="es-MX"/>
        </w:rPr>
        <w:t>Artículo 14°. COMPETENCIA DEL MINISTERIO DE EDUCACIÓN</w:t>
      </w:r>
      <w:r w:rsidRPr="00D82903">
        <w:rPr>
          <w:rFonts w:ascii="Arial" w:hAnsi="Arial" w:cs="Arial"/>
          <w:lang w:val="es-MX"/>
        </w:rPr>
        <w:t>. Corresponde al Ministerio de Educación, en el ejercicio propio de sus funciones, asesorar la implementación y gestión de la Política Colombia Mayor en lo referente a los programas de educación formal y no formal y educación continua durante toda la vida, orientados a mejorar las condiciones de vida de las personas adultas mayores en el territorio nacional y a la creación de una cultura del envejecimiento activo en el país. Crear conciencia en los colombianos, sobre el valor social de las personas mayores y el reconocimiento de su saber y experiencia de vida; adicionalmente definir estrategias que permitan compartir conocimientos con los niños y adolescentes.</w:t>
      </w:r>
    </w:p>
    <w:p w:rsidR="00D82903" w:rsidRPr="00D82903" w:rsidRDefault="00D82903" w:rsidP="00D82903">
      <w:pPr>
        <w:pStyle w:val="Sinespaciado"/>
        <w:jc w:val="both"/>
        <w:rPr>
          <w:rFonts w:ascii="Arial" w:hAnsi="Arial" w:cs="Arial"/>
          <w:lang w:val="es-MX"/>
        </w:rPr>
      </w:pPr>
      <w:r w:rsidRPr="00D82903">
        <w:rPr>
          <w:rFonts w:ascii="Arial" w:hAnsi="Arial" w:cs="Arial"/>
          <w:lang w:val="es-MX"/>
        </w:rPr>
        <w:t>Promover la creación de universidades especializadas para personas adultas mayores, promover y mejorar el acceso a los espacios y programas académicos existentes.</w:t>
      </w:r>
    </w:p>
    <w:p w:rsidR="004120FE" w:rsidRDefault="004120FE" w:rsidP="00D82903">
      <w:pPr>
        <w:pStyle w:val="Sinespaciado"/>
        <w:jc w:val="both"/>
        <w:rPr>
          <w:rFonts w:ascii="Arial" w:hAnsi="Arial" w:cs="Arial"/>
          <w:lang w:val="es-MX"/>
        </w:rPr>
      </w:pPr>
    </w:p>
    <w:p w:rsidR="00D82903" w:rsidRPr="00D82903" w:rsidRDefault="00D82903" w:rsidP="00D82903">
      <w:pPr>
        <w:pStyle w:val="Sinespaciado"/>
        <w:jc w:val="both"/>
        <w:rPr>
          <w:rFonts w:ascii="Arial" w:hAnsi="Arial" w:cs="Arial"/>
          <w:lang w:val="es-MX"/>
        </w:rPr>
      </w:pPr>
      <w:r w:rsidRPr="004120FE">
        <w:rPr>
          <w:rFonts w:ascii="Arial" w:hAnsi="Arial" w:cs="Arial"/>
          <w:b/>
          <w:lang w:val="es-MX"/>
        </w:rPr>
        <w:t>Artículo 15º.  MINISTERIO DE HACIENDA Y CRÉDITO PÚBLICO.</w:t>
      </w:r>
      <w:r w:rsidRPr="00D82903">
        <w:rPr>
          <w:rFonts w:ascii="Arial" w:hAnsi="Arial" w:cs="Arial"/>
          <w:lang w:val="es-MX"/>
        </w:rPr>
        <w:t xml:space="preserve"> Al Ministerio de Hacienda y Crédito Público le corresponde garantizar los recursos para la financiación de la Política “COLOMBIA MAYOR” y orientar recursos para garantizar el cumplimiento de las metas propuestas.</w:t>
      </w:r>
    </w:p>
    <w:p w:rsidR="00D82903" w:rsidRPr="00D82903" w:rsidRDefault="00D82903" w:rsidP="00D82903">
      <w:pPr>
        <w:pStyle w:val="Sinespaciado"/>
        <w:jc w:val="both"/>
        <w:rPr>
          <w:rFonts w:ascii="Arial" w:hAnsi="Arial" w:cs="Arial"/>
          <w:lang w:val="es-MX"/>
        </w:rPr>
      </w:pPr>
    </w:p>
    <w:p w:rsidR="00D82903" w:rsidRPr="004120FE" w:rsidRDefault="00D82903" w:rsidP="004120FE">
      <w:pPr>
        <w:pStyle w:val="Sinespaciado"/>
        <w:jc w:val="center"/>
        <w:rPr>
          <w:rFonts w:ascii="Arial" w:hAnsi="Arial" w:cs="Arial"/>
          <w:b/>
          <w:lang w:val="es-MX"/>
        </w:rPr>
      </w:pPr>
      <w:r w:rsidRPr="004120FE">
        <w:rPr>
          <w:rFonts w:ascii="Arial" w:hAnsi="Arial" w:cs="Arial"/>
          <w:b/>
          <w:lang w:val="es-MX"/>
        </w:rPr>
        <w:t>TÍTULO IV</w:t>
      </w:r>
    </w:p>
    <w:p w:rsidR="004120FE" w:rsidRDefault="004120FE" w:rsidP="004120FE">
      <w:pPr>
        <w:pStyle w:val="Sinespaciado"/>
        <w:jc w:val="center"/>
        <w:rPr>
          <w:rFonts w:ascii="Arial" w:hAnsi="Arial" w:cs="Arial"/>
          <w:b/>
          <w:lang w:val="es-MX"/>
        </w:rPr>
      </w:pPr>
    </w:p>
    <w:p w:rsidR="00D82903" w:rsidRPr="004120FE" w:rsidRDefault="00D82903" w:rsidP="004120FE">
      <w:pPr>
        <w:pStyle w:val="Sinespaciado"/>
        <w:jc w:val="center"/>
        <w:rPr>
          <w:rFonts w:ascii="Arial" w:hAnsi="Arial" w:cs="Arial"/>
          <w:b/>
          <w:lang w:val="es-MX"/>
        </w:rPr>
      </w:pPr>
      <w:r w:rsidRPr="004120FE">
        <w:rPr>
          <w:rFonts w:ascii="Arial" w:hAnsi="Arial" w:cs="Arial"/>
          <w:b/>
          <w:lang w:val="es-MX"/>
        </w:rPr>
        <w:t>FINANCIACIÓN</w:t>
      </w:r>
    </w:p>
    <w:p w:rsidR="004120FE" w:rsidRDefault="004120FE" w:rsidP="00D82903">
      <w:pPr>
        <w:pStyle w:val="Sinespaciado"/>
        <w:jc w:val="both"/>
        <w:rPr>
          <w:rFonts w:ascii="Arial" w:hAnsi="Arial" w:cs="Arial"/>
          <w:lang w:val="es-MX"/>
        </w:rPr>
      </w:pPr>
    </w:p>
    <w:p w:rsidR="00D82903" w:rsidRPr="00D82903" w:rsidRDefault="00D82903" w:rsidP="00D82903">
      <w:pPr>
        <w:pStyle w:val="Sinespaciado"/>
        <w:jc w:val="both"/>
        <w:rPr>
          <w:rFonts w:ascii="Arial" w:hAnsi="Arial" w:cs="Arial"/>
          <w:lang w:val="es-MX"/>
        </w:rPr>
      </w:pPr>
      <w:r w:rsidRPr="004120FE">
        <w:rPr>
          <w:rFonts w:ascii="Arial" w:hAnsi="Arial" w:cs="Arial"/>
          <w:b/>
          <w:lang w:val="es-MX"/>
        </w:rPr>
        <w:t>Artículo 16°. FINANCIACIÓN</w:t>
      </w:r>
      <w:r w:rsidRPr="00D82903">
        <w:rPr>
          <w:rFonts w:ascii="Arial" w:hAnsi="Arial" w:cs="Arial"/>
          <w:lang w:val="es-MX"/>
        </w:rPr>
        <w:t>. El Gobierno Nacional propenderá por proveer anualmente los recursos para la implementación de la política para el desarrollo integral del adulto mayor, según las metas de cobertura y gestión que se definan en el marco de la Comisión intersectorial para la Atención Integral del adulto mayor, de acuerdo con el marco fiscal de mediano plazo y el marco de gasto de mediano plazo.</w:t>
      </w:r>
    </w:p>
    <w:p w:rsidR="004120FE" w:rsidRDefault="004120FE" w:rsidP="00D82903">
      <w:pPr>
        <w:pStyle w:val="Sinespaciado"/>
        <w:jc w:val="both"/>
        <w:rPr>
          <w:rFonts w:ascii="Arial" w:hAnsi="Arial" w:cs="Arial"/>
          <w:lang w:val="es-MX"/>
        </w:rPr>
      </w:pPr>
    </w:p>
    <w:p w:rsidR="00D82903" w:rsidRPr="00D82903" w:rsidRDefault="00D82903" w:rsidP="00D82903">
      <w:pPr>
        <w:pStyle w:val="Sinespaciado"/>
        <w:jc w:val="both"/>
        <w:rPr>
          <w:rFonts w:ascii="Arial" w:hAnsi="Arial" w:cs="Arial"/>
          <w:lang w:val="es-MX"/>
        </w:rPr>
      </w:pPr>
      <w:r w:rsidRPr="00D82903">
        <w:rPr>
          <w:rFonts w:ascii="Arial" w:hAnsi="Arial" w:cs="Arial"/>
          <w:lang w:val="es-MX"/>
        </w:rPr>
        <w:t xml:space="preserve">Se reglamentarán los esquemas de cofinanciación entre la nación y el territorio para la atención integral del adulto mayor lo cual las entidades territoriales deberán gestionar y ejecutar oportunamente las fuentes financieras complementarias de la nación. Se creará un capítulo de presupuesto </w:t>
      </w:r>
      <w:r w:rsidR="004120FE" w:rsidRPr="00D82903">
        <w:rPr>
          <w:rFonts w:ascii="Arial" w:hAnsi="Arial" w:cs="Arial"/>
          <w:lang w:val="es-MX"/>
        </w:rPr>
        <w:t>anual en</w:t>
      </w:r>
      <w:r w:rsidRPr="00D82903">
        <w:rPr>
          <w:rFonts w:ascii="Arial" w:hAnsi="Arial" w:cs="Arial"/>
          <w:lang w:val="es-MX"/>
        </w:rPr>
        <w:t xml:space="preserve"> la planeación de las entidades del orden nacional y territorial que asegure el gasto público social de los recursos para la atención integral al adulto mayor, los cuales no podrán ser inferiores a los recursos del año anterior.</w:t>
      </w:r>
    </w:p>
    <w:p w:rsidR="00D82903" w:rsidRPr="00D82903" w:rsidRDefault="00D82903" w:rsidP="00D82903">
      <w:pPr>
        <w:pStyle w:val="Sinespaciado"/>
        <w:jc w:val="both"/>
        <w:rPr>
          <w:rFonts w:ascii="Arial" w:hAnsi="Arial" w:cs="Arial"/>
        </w:rPr>
      </w:pPr>
    </w:p>
    <w:p w:rsidR="00D82903" w:rsidRPr="00D82903" w:rsidRDefault="00D82903" w:rsidP="00D82903">
      <w:pPr>
        <w:pStyle w:val="Sinespaciado"/>
        <w:jc w:val="both"/>
        <w:rPr>
          <w:rFonts w:ascii="Arial" w:hAnsi="Arial" w:cs="Arial"/>
        </w:rPr>
      </w:pPr>
    </w:p>
    <w:p w:rsidR="00D82903" w:rsidRPr="004120FE" w:rsidRDefault="00D82903" w:rsidP="004120FE">
      <w:pPr>
        <w:pStyle w:val="Sinespaciado"/>
        <w:jc w:val="center"/>
        <w:rPr>
          <w:rFonts w:ascii="Arial" w:hAnsi="Arial" w:cs="Arial"/>
          <w:b/>
        </w:rPr>
      </w:pPr>
      <w:r w:rsidRPr="004120FE">
        <w:rPr>
          <w:rFonts w:ascii="Arial" w:hAnsi="Arial" w:cs="Arial"/>
          <w:b/>
        </w:rPr>
        <w:t>TITULO V.</w:t>
      </w:r>
    </w:p>
    <w:p w:rsidR="004120FE" w:rsidRDefault="004120FE" w:rsidP="004120FE">
      <w:pPr>
        <w:pStyle w:val="Sinespaciado"/>
        <w:jc w:val="center"/>
        <w:rPr>
          <w:rFonts w:ascii="Arial" w:hAnsi="Arial" w:cs="Arial"/>
          <w:b/>
        </w:rPr>
      </w:pPr>
    </w:p>
    <w:p w:rsidR="00D82903" w:rsidRPr="004120FE" w:rsidRDefault="00D82903" w:rsidP="004120FE">
      <w:pPr>
        <w:pStyle w:val="Sinespaciado"/>
        <w:jc w:val="center"/>
        <w:rPr>
          <w:rFonts w:ascii="Arial" w:hAnsi="Arial" w:cs="Arial"/>
          <w:b/>
        </w:rPr>
      </w:pPr>
      <w:r w:rsidRPr="004120FE">
        <w:rPr>
          <w:rFonts w:ascii="Arial" w:hAnsi="Arial" w:cs="Arial"/>
          <w:b/>
        </w:rPr>
        <w:t>IMPLEMENTACION</w:t>
      </w:r>
    </w:p>
    <w:p w:rsidR="00D82903" w:rsidRPr="00D82903" w:rsidRDefault="00D82903" w:rsidP="00D82903">
      <w:pPr>
        <w:pStyle w:val="Sinespaciado"/>
        <w:jc w:val="both"/>
        <w:rPr>
          <w:rFonts w:ascii="Arial" w:hAnsi="Arial" w:cs="Arial"/>
        </w:rPr>
      </w:pPr>
    </w:p>
    <w:p w:rsidR="00D82903" w:rsidRPr="00D82903" w:rsidRDefault="00D82903" w:rsidP="00D82903">
      <w:pPr>
        <w:pStyle w:val="Sinespaciado"/>
        <w:jc w:val="both"/>
        <w:rPr>
          <w:rFonts w:ascii="Arial" w:hAnsi="Arial" w:cs="Arial"/>
        </w:rPr>
      </w:pPr>
      <w:r w:rsidRPr="004120FE">
        <w:rPr>
          <w:rFonts w:ascii="Arial" w:hAnsi="Arial" w:cs="Arial"/>
          <w:b/>
        </w:rPr>
        <w:t>Artículo 17°.IMPLEMENTACIÓN NACIONAL DE LA POLÍTICA</w:t>
      </w:r>
      <w:r w:rsidRPr="00D82903">
        <w:rPr>
          <w:rFonts w:ascii="Arial" w:hAnsi="Arial" w:cs="Arial"/>
        </w:rPr>
        <w:t xml:space="preserve">. Todos los sectores de los que trata la presente ley, deberán hacer los ajustes normativos, institucionales y presupuestales que se requieran para cumplir con las competencias asignadas en el marco de la política Colombia Mayor. </w:t>
      </w:r>
    </w:p>
    <w:p w:rsidR="00D82903" w:rsidRPr="00D82903" w:rsidRDefault="00D82903" w:rsidP="00D82903">
      <w:pPr>
        <w:pStyle w:val="Sinespaciado"/>
        <w:jc w:val="both"/>
        <w:rPr>
          <w:rFonts w:ascii="Arial" w:hAnsi="Arial" w:cs="Arial"/>
        </w:rPr>
      </w:pPr>
    </w:p>
    <w:p w:rsidR="00D82903" w:rsidRPr="00D82903" w:rsidRDefault="004120FE" w:rsidP="00D82903">
      <w:pPr>
        <w:pStyle w:val="Sinespaciado"/>
        <w:jc w:val="both"/>
        <w:rPr>
          <w:rFonts w:ascii="Arial" w:hAnsi="Arial" w:cs="Arial"/>
        </w:rPr>
      </w:pPr>
      <w:r w:rsidRPr="004120FE">
        <w:rPr>
          <w:rFonts w:ascii="Arial" w:hAnsi="Arial" w:cs="Arial"/>
          <w:b/>
        </w:rPr>
        <w:t>Artículo 18</w:t>
      </w:r>
      <w:r w:rsidR="00D82903" w:rsidRPr="004120FE">
        <w:rPr>
          <w:rFonts w:ascii="Arial" w:hAnsi="Arial" w:cs="Arial"/>
          <w:b/>
        </w:rPr>
        <w:t>°. IMPLEMENTACIÓN TERRITORIAL DE LA POLÍTICA</w:t>
      </w:r>
      <w:r w:rsidR="00D82903" w:rsidRPr="00D82903">
        <w:rPr>
          <w:rFonts w:ascii="Arial" w:hAnsi="Arial" w:cs="Arial"/>
        </w:rPr>
        <w:t xml:space="preserve">. La implementación se debe hacer a partir de las competencias que alcaldes y gobernadores tienen para este fin y su alcance y propósito debe estar en coherencia con lo definido en el marco de Política Nacional, principalmente en lo relacionado con el diseño, implementación y seguimiento del Plan para el adulto mayor.   En concordancia los alcaldes y gobernadores deben garantizar la asignación de recursos de forma </w:t>
      </w:r>
      <w:r w:rsidR="00D82903" w:rsidRPr="00D82903">
        <w:rPr>
          <w:rFonts w:ascii="Arial" w:hAnsi="Arial" w:cs="Arial"/>
        </w:rPr>
        <w:lastRenderedPageBreak/>
        <w:t>prioritaria, específica y diferencial en sus planes de desarrollo. Su inobservancia será sancionada disciplinariamente como causal de mala conducta.</w:t>
      </w:r>
    </w:p>
    <w:p w:rsidR="00D82903" w:rsidRPr="00D82903" w:rsidRDefault="00D82903" w:rsidP="00D82903">
      <w:pPr>
        <w:pStyle w:val="Sinespaciado"/>
        <w:jc w:val="both"/>
        <w:rPr>
          <w:rFonts w:ascii="Arial" w:hAnsi="Arial" w:cs="Arial"/>
        </w:rPr>
      </w:pPr>
    </w:p>
    <w:p w:rsidR="00D82903" w:rsidRPr="00D82903" w:rsidRDefault="00D82903" w:rsidP="00D82903">
      <w:pPr>
        <w:pStyle w:val="Sinespaciado"/>
        <w:jc w:val="both"/>
        <w:rPr>
          <w:rFonts w:ascii="Arial" w:hAnsi="Arial" w:cs="Arial"/>
        </w:rPr>
      </w:pPr>
      <w:r w:rsidRPr="00D82903">
        <w:rPr>
          <w:rFonts w:ascii="Arial" w:hAnsi="Arial" w:cs="Arial"/>
        </w:rPr>
        <w:t xml:space="preserve">Los Gobiernos departamentales, distritales y municipales deberán mantener relación directa con la Comisión a través de la Secretaría Técnica o los delegados institucionales, para recibir asistencia técnica para sus iniciativas y el desarrollo de políticas, programas y proyectos de Colombia Mayor. </w:t>
      </w:r>
    </w:p>
    <w:p w:rsidR="004120FE" w:rsidRDefault="004120FE" w:rsidP="00D82903">
      <w:pPr>
        <w:pStyle w:val="Sinespaciado"/>
        <w:jc w:val="both"/>
        <w:rPr>
          <w:rFonts w:ascii="Arial" w:hAnsi="Arial" w:cs="Arial"/>
        </w:rPr>
      </w:pPr>
    </w:p>
    <w:p w:rsidR="00D82903" w:rsidRPr="00D82903" w:rsidRDefault="00D82903" w:rsidP="00D82903">
      <w:pPr>
        <w:pStyle w:val="Sinespaciado"/>
        <w:jc w:val="both"/>
        <w:rPr>
          <w:rFonts w:ascii="Arial" w:hAnsi="Arial" w:cs="Arial"/>
        </w:rPr>
      </w:pPr>
      <w:r w:rsidRPr="00D82903">
        <w:rPr>
          <w:rFonts w:ascii="Arial" w:hAnsi="Arial" w:cs="Arial"/>
        </w:rPr>
        <w:t xml:space="preserve">El Departamento Nacional de Planeación, el Departamento de la Prosperidad Social y el Ministerio de Trabajo establecerán los lineamientos técnicos mínimos que deberán contener los planes de desarrollo en materia de implementación de la Política “Colombia Mayor” </w:t>
      </w:r>
    </w:p>
    <w:p w:rsidR="00D82903" w:rsidRPr="00D82903" w:rsidRDefault="00D82903" w:rsidP="00D82903">
      <w:pPr>
        <w:pStyle w:val="Sinespaciado"/>
        <w:jc w:val="both"/>
        <w:rPr>
          <w:rFonts w:ascii="Arial" w:hAnsi="Arial" w:cs="Arial"/>
        </w:rPr>
      </w:pPr>
    </w:p>
    <w:p w:rsidR="00D82903" w:rsidRPr="00D82903" w:rsidRDefault="00D82903" w:rsidP="00D82903">
      <w:pPr>
        <w:pStyle w:val="Sinespaciado"/>
        <w:jc w:val="both"/>
        <w:rPr>
          <w:rFonts w:ascii="Arial" w:hAnsi="Arial" w:cs="Arial"/>
        </w:rPr>
      </w:pPr>
      <w:r w:rsidRPr="004120FE">
        <w:rPr>
          <w:rFonts w:ascii="Arial" w:hAnsi="Arial" w:cs="Arial"/>
          <w:b/>
        </w:rPr>
        <w:t>Artículo 19°. CORRESPONSABILIDAD</w:t>
      </w:r>
      <w:r w:rsidRPr="00D82903">
        <w:rPr>
          <w:rFonts w:ascii="Arial" w:hAnsi="Arial" w:cs="Arial"/>
        </w:rPr>
        <w:t xml:space="preserve">. La política pública se deberá implementar sobre el principio de corresponsabilidad del Estado, familia y sociedad, esto por medio de planes, estrategias y acciones que aseguren la protección integral de los adultos mayores. </w:t>
      </w:r>
    </w:p>
    <w:p w:rsidR="00D82903" w:rsidRPr="00D82903" w:rsidRDefault="00D82903" w:rsidP="00D82903">
      <w:pPr>
        <w:pStyle w:val="Sinespaciado"/>
        <w:jc w:val="both"/>
        <w:rPr>
          <w:rFonts w:ascii="Arial" w:hAnsi="Arial" w:cs="Arial"/>
        </w:rPr>
      </w:pPr>
    </w:p>
    <w:p w:rsidR="00D82903" w:rsidRPr="00D82903" w:rsidRDefault="00D82903" w:rsidP="00D82903">
      <w:pPr>
        <w:pStyle w:val="Sinespaciado"/>
        <w:jc w:val="center"/>
        <w:rPr>
          <w:rFonts w:ascii="Arial" w:hAnsi="Arial" w:cs="Arial"/>
          <w:b/>
        </w:rPr>
      </w:pPr>
      <w:r w:rsidRPr="00D82903">
        <w:rPr>
          <w:rFonts w:ascii="Arial" w:hAnsi="Arial" w:cs="Arial"/>
          <w:b/>
        </w:rPr>
        <w:t>TITULO VI.</w:t>
      </w:r>
    </w:p>
    <w:p w:rsidR="00D82903" w:rsidRPr="00D82903" w:rsidRDefault="00D82903" w:rsidP="00D82903">
      <w:pPr>
        <w:pStyle w:val="Sinespaciado"/>
        <w:jc w:val="center"/>
        <w:rPr>
          <w:rFonts w:ascii="Arial" w:hAnsi="Arial" w:cs="Arial"/>
          <w:b/>
        </w:rPr>
      </w:pPr>
    </w:p>
    <w:p w:rsidR="00D82903" w:rsidRPr="00D82903" w:rsidRDefault="00D82903" w:rsidP="00D82903">
      <w:pPr>
        <w:pStyle w:val="Sinespaciado"/>
        <w:jc w:val="center"/>
        <w:rPr>
          <w:rFonts w:ascii="Arial" w:hAnsi="Arial" w:cs="Arial"/>
          <w:b/>
        </w:rPr>
      </w:pPr>
      <w:r w:rsidRPr="00D82903">
        <w:rPr>
          <w:rFonts w:ascii="Arial" w:hAnsi="Arial" w:cs="Arial"/>
          <w:b/>
        </w:rPr>
        <w:t>EVALUACION</w:t>
      </w:r>
    </w:p>
    <w:p w:rsidR="00D82903" w:rsidRPr="00D82903" w:rsidRDefault="00D82903" w:rsidP="00D82903">
      <w:pPr>
        <w:pStyle w:val="Sinespaciado"/>
        <w:jc w:val="both"/>
        <w:rPr>
          <w:rFonts w:ascii="Arial" w:hAnsi="Arial" w:cs="Arial"/>
        </w:rPr>
      </w:pPr>
    </w:p>
    <w:p w:rsidR="00D82903" w:rsidRPr="00D82903" w:rsidRDefault="00D82903" w:rsidP="00D82903">
      <w:pPr>
        <w:pStyle w:val="Sinespaciado"/>
        <w:jc w:val="both"/>
        <w:rPr>
          <w:rFonts w:ascii="Arial" w:hAnsi="Arial" w:cs="Arial"/>
        </w:rPr>
      </w:pPr>
      <w:r w:rsidRPr="00DC2D05">
        <w:rPr>
          <w:rFonts w:ascii="Arial" w:hAnsi="Arial" w:cs="Arial"/>
          <w:b/>
        </w:rPr>
        <w:t>Artículo 20°. CONTROL Y VIGILANCIA</w:t>
      </w:r>
      <w:r w:rsidRPr="00D82903">
        <w:rPr>
          <w:rFonts w:ascii="Arial" w:hAnsi="Arial" w:cs="Arial"/>
        </w:rPr>
        <w:t>. Las Entidades Territoriales con apoyo del Ministerio del Trabajo, deberán realizar un control sobre el otorgamiento de los subsidios y el Ministerio del Trabajo presentará un informe anual relacionando el valor de la inversión y la población beneficiada.</w:t>
      </w:r>
    </w:p>
    <w:p w:rsidR="00D82903" w:rsidRPr="00D82903" w:rsidRDefault="00D82903" w:rsidP="00D82903">
      <w:pPr>
        <w:pStyle w:val="Sinespaciado"/>
        <w:jc w:val="both"/>
        <w:rPr>
          <w:rFonts w:ascii="Arial" w:hAnsi="Arial" w:cs="Arial"/>
        </w:rPr>
      </w:pPr>
    </w:p>
    <w:p w:rsidR="00D82903" w:rsidRPr="00D82903" w:rsidRDefault="00D82903" w:rsidP="00D82903">
      <w:pPr>
        <w:pStyle w:val="Sinespaciado"/>
        <w:jc w:val="both"/>
        <w:rPr>
          <w:rFonts w:ascii="Arial" w:hAnsi="Arial" w:cs="Arial"/>
        </w:rPr>
      </w:pPr>
      <w:r w:rsidRPr="00DC2D05">
        <w:rPr>
          <w:rFonts w:ascii="Arial" w:hAnsi="Arial" w:cs="Arial"/>
          <w:b/>
        </w:rPr>
        <w:t>Artículo 21°. VIGENCIA</w:t>
      </w:r>
      <w:r w:rsidRPr="00D82903">
        <w:rPr>
          <w:rFonts w:ascii="Arial" w:hAnsi="Arial" w:cs="Arial"/>
        </w:rPr>
        <w:t xml:space="preserve">. Esta ley rige a partir de la fecha de su promulgación y deroga todas las que le sean contrarias. </w:t>
      </w:r>
    </w:p>
    <w:p w:rsidR="00D82903" w:rsidRPr="00D82903" w:rsidRDefault="00D82903" w:rsidP="00D82903">
      <w:pPr>
        <w:pStyle w:val="Sinespaciado"/>
        <w:jc w:val="both"/>
        <w:rPr>
          <w:rFonts w:ascii="Arial" w:eastAsia="Calibri" w:hAnsi="Arial" w:cs="Arial"/>
        </w:rPr>
      </w:pPr>
      <w:r w:rsidRPr="00D82903">
        <w:rPr>
          <w:rFonts w:ascii="Arial" w:eastAsia="Calibri" w:hAnsi="Arial" w:cs="Arial"/>
        </w:rPr>
        <w:t xml:space="preserve">Cordialmente, </w:t>
      </w:r>
    </w:p>
    <w:p w:rsidR="00D82903" w:rsidRPr="00D82903" w:rsidRDefault="00D82903" w:rsidP="00D82903">
      <w:pPr>
        <w:pStyle w:val="Sinespaciado"/>
        <w:jc w:val="both"/>
        <w:rPr>
          <w:rFonts w:ascii="Arial" w:eastAsia="Times New Roman" w:hAnsi="Arial" w:cs="Arial"/>
          <w:color w:val="000000"/>
          <w:lang w:eastAsia="es-ES"/>
        </w:rPr>
      </w:pPr>
      <w:r w:rsidRPr="00D82903">
        <w:rPr>
          <w:rFonts w:ascii="Arial" w:eastAsia="Times New Roman" w:hAnsi="Arial" w:cs="Arial"/>
          <w:color w:val="000000"/>
          <w:lang w:eastAsia="es-ES"/>
        </w:rPr>
        <w:t xml:space="preserve"> </w:t>
      </w:r>
    </w:p>
    <w:p w:rsidR="00D82903" w:rsidRPr="00D82903" w:rsidRDefault="00D82903" w:rsidP="00D82903">
      <w:pPr>
        <w:pStyle w:val="Sinespaciado"/>
        <w:jc w:val="both"/>
        <w:rPr>
          <w:rFonts w:ascii="Arial" w:eastAsia="Times New Roman" w:hAnsi="Arial" w:cs="Arial"/>
          <w:color w:val="000000"/>
          <w:lang w:eastAsia="es-ES"/>
        </w:rPr>
      </w:pPr>
      <w:r w:rsidRPr="00D82903">
        <w:rPr>
          <w:rFonts w:ascii="Arial" w:eastAsia="Calibri" w:hAnsi="Arial" w:cs="Arial"/>
          <w:color w:val="000000"/>
          <w:lang w:eastAsia="es-ES"/>
        </w:rPr>
        <w:t xml:space="preserve"> </w:t>
      </w:r>
      <w:r w:rsidRPr="00D82903">
        <w:rPr>
          <w:rFonts w:ascii="Arial" w:eastAsia="Times New Roman" w:hAnsi="Arial" w:cs="Arial"/>
          <w:color w:val="000000"/>
          <w:lang w:eastAsia="es-ES"/>
        </w:rPr>
        <w:t xml:space="preserve"> </w:t>
      </w:r>
    </w:p>
    <w:p w:rsidR="00D82903" w:rsidRPr="00D82903" w:rsidRDefault="00D82903" w:rsidP="00D82903">
      <w:pPr>
        <w:pStyle w:val="Sinespaciado"/>
        <w:jc w:val="both"/>
        <w:rPr>
          <w:rFonts w:ascii="Arial" w:eastAsia="Times New Roman" w:hAnsi="Arial" w:cs="Arial"/>
          <w:color w:val="000000"/>
          <w:lang w:eastAsia="es-ES"/>
        </w:rPr>
      </w:pPr>
    </w:p>
    <w:p w:rsidR="00D82903" w:rsidRPr="00D82903" w:rsidRDefault="00D82903" w:rsidP="00D82903">
      <w:pPr>
        <w:pStyle w:val="Sinespaciado"/>
        <w:jc w:val="both"/>
        <w:rPr>
          <w:rFonts w:ascii="Arial" w:hAnsi="Arial" w:cs="Arial"/>
          <w:b/>
        </w:rPr>
      </w:pPr>
      <w:r w:rsidRPr="00D82903">
        <w:rPr>
          <w:rFonts w:ascii="Arial" w:hAnsi="Arial" w:cs="Arial"/>
          <w:b/>
        </w:rPr>
        <w:t xml:space="preserve">GUILLERMINA BRAVO MONTAÑO </w:t>
      </w:r>
      <w:r w:rsidRPr="00D82903">
        <w:rPr>
          <w:rFonts w:ascii="Arial" w:hAnsi="Arial" w:cs="Arial"/>
          <w:b/>
        </w:rPr>
        <w:tab/>
      </w:r>
      <w:r w:rsidRPr="00D82903">
        <w:rPr>
          <w:rFonts w:ascii="Arial" w:hAnsi="Arial" w:cs="Arial"/>
          <w:b/>
        </w:rPr>
        <w:tab/>
        <w:t xml:space="preserve">ÁNGELA MARÍA ROBLEDO GÓMEZ </w:t>
      </w:r>
    </w:p>
    <w:p w:rsidR="00D82903" w:rsidRPr="00D82903" w:rsidRDefault="00D82903" w:rsidP="00D82903">
      <w:pPr>
        <w:pStyle w:val="Sinespaciado"/>
        <w:jc w:val="both"/>
        <w:rPr>
          <w:rFonts w:ascii="Arial" w:hAnsi="Arial" w:cs="Arial"/>
        </w:rPr>
      </w:pPr>
      <w:r w:rsidRPr="00D82903">
        <w:rPr>
          <w:rFonts w:ascii="Arial" w:hAnsi="Arial" w:cs="Arial"/>
        </w:rPr>
        <w:t xml:space="preserve">Representante a la Cámara </w:t>
      </w:r>
      <w:r w:rsidRPr="00D82903">
        <w:rPr>
          <w:rFonts w:ascii="Arial" w:hAnsi="Arial" w:cs="Arial"/>
        </w:rPr>
        <w:tab/>
      </w:r>
      <w:r w:rsidRPr="00D82903">
        <w:rPr>
          <w:rFonts w:ascii="Arial" w:hAnsi="Arial" w:cs="Arial"/>
        </w:rPr>
        <w:tab/>
      </w:r>
      <w:r w:rsidRPr="00D82903">
        <w:rPr>
          <w:rFonts w:ascii="Arial" w:hAnsi="Arial" w:cs="Arial"/>
        </w:rPr>
        <w:tab/>
      </w:r>
      <w:r>
        <w:rPr>
          <w:rFonts w:ascii="Arial" w:hAnsi="Arial" w:cs="Arial"/>
        </w:rPr>
        <w:tab/>
      </w:r>
      <w:r w:rsidRPr="00D82903">
        <w:rPr>
          <w:rFonts w:ascii="Arial" w:hAnsi="Arial" w:cs="Arial"/>
        </w:rPr>
        <w:t xml:space="preserve">Representante a la Cámara </w:t>
      </w:r>
    </w:p>
    <w:p w:rsidR="00D82903" w:rsidRPr="00D82903" w:rsidRDefault="00D82903" w:rsidP="00D82903">
      <w:pPr>
        <w:pStyle w:val="Sinespaciado"/>
        <w:jc w:val="both"/>
        <w:rPr>
          <w:rFonts w:ascii="Arial" w:hAnsi="Arial" w:cs="Arial"/>
        </w:rPr>
      </w:pPr>
      <w:r w:rsidRPr="00D82903">
        <w:rPr>
          <w:rFonts w:ascii="Arial" w:hAnsi="Arial" w:cs="Arial"/>
        </w:rPr>
        <w:t xml:space="preserve">Coordinadora Ponente  </w:t>
      </w:r>
      <w:r w:rsidRPr="00D82903">
        <w:rPr>
          <w:rFonts w:ascii="Arial" w:hAnsi="Arial" w:cs="Arial"/>
        </w:rPr>
        <w:tab/>
      </w:r>
      <w:r w:rsidRPr="00D82903">
        <w:rPr>
          <w:rFonts w:ascii="Arial" w:hAnsi="Arial" w:cs="Arial"/>
        </w:rPr>
        <w:tab/>
      </w:r>
      <w:r w:rsidRPr="00D82903">
        <w:rPr>
          <w:rFonts w:ascii="Arial" w:hAnsi="Arial" w:cs="Arial"/>
        </w:rPr>
        <w:tab/>
      </w:r>
      <w:r w:rsidRPr="00D82903">
        <w:rPr>
          <w:rFonts w:ascii="Arial" w:hAnsi="Arial" w:cs="Arial"/>
        </w:rPr>
        <w:tab/>
        <w:t>Ponente</w:t>
      </w:r>
    </w:p>
    <w:p w:rsidR="00D82903" w:rsidRPr="00D82903" w:rsidRDefault="00D82903" w:rsidP="00D82903">
      <w:pPr>
        <w:pStyle w:val="Sinespaciado"/>
        <w:jc w:val="both"/>
        <w:rPr>
          <w:rFonts w:ascii="Arial" w:eastAsia="Times New Roman" w:hAnsi="Arial" w:cs="Arial"/>
          <w:color w:val="000000"/>
          <w:lang w:eastAsia="es-ES"/>
        </w:rPr>
      </w:pPr>
    </w:p>
    <w:p w:rsidR="00D82903" w:rsidRPr="00D82903" w:rsidRDefault="00D82903" w:rsidP="00D82903">
      <w:pPr>
        <w:pStyle w:val="Sinespaciado"/>
        <w:jc w:val="both"/>
        <w:rPr>
          <w:rFonts w:ascii="Arial" w:eastAsia="Times New Roman" w:hAnsi="Arial" w:cs="Arial"/>
          <w:color w:val="000000"/>
          <w:lang w:eastAsia="es-ES"/>
        </w:rPr>
      </w:pPr>
    </w:p>
    <w:p w:rsidR="00D82903" w:rsidRPr="00D82903" w:rsidRDefault="00D82903" w:rsidP="00D82903">
      <w:pPr>
        <w:pStyle w:val="Sinespaciado"/>
        <w:jc w:val="both"/>
        <w:rPr>
          <w:rFonts w:ascii="Arial" w:eastAsia="Times New Roman" w:hAnsi="Arial" w:cs="Arial"/>
          <w:color w:val="000000"/>
          <w:lang w:eastAsia="es-ES"/>
        </w:rPr>
      </w:pPr>
    </w:p>
    <w:p w:rsidR="00D82903" w:rsidRPr="00D82903" w:rsidRDefault="00D82903" w:rsidP="00D82903">
      <w:pPr>
        <w:pStyle w:val="Sinespaciado"/>
        <w:jc w:val="both"/>
        <w:rPr>
          <w:rFonts w:ascii="Arial" w:eastAsia="Times New Roman" w:hAnsi="Arial" w:cs="Arial"/>
          <w:color w:val="000000"/>
          <w:lang w:eastAsia="es-ES"/>
        </w:rPr>
      </w:pPr>
    </w:p>
    <w:p w:rsidR="00D82903" w:rsidRPr="00D82903" w:rsidRDefault="00D82903" w:rsidP="00D82903">
      <w:pPr>
        <w:pStyle w:val="Sinespaciado"/>
        <w:jc w:val="both"/>
        <w:rPr>
          <w:rFonts w:ascii="Arial" w:eastAsia="Times New Roman" w:hAnsi="Arial" w:cs="Arial"/>
          <w:b/>
          <w:color w:val="000000"/>
          <w:lang w:eastAsia="es-ES"/>
        </w:rPr>
      </w:pPr>
      <w:r w:rsidRPr="00D82903">
        <w:rPr>
          <w:rFonts w:ascii="Arial" w:eastAsia="Times New Roman" w:hAnsi="Arial" w:cs="Arial"/>
          <w:b/>
          <w:color w:val="000000"/>
          <w:lang w:eastAsia="es-ES"/>
        </w:rPr>
        <w:t xml:space="preserve">MAURICIO SALAZAR PELÁEZ </w:t>
      </w:r>
      <w:r w:rsidRPr="00D82903">
        <w:rPr>
          <w:rFonts w:ascii="Arial" w:eastAsia="Times New Roman" w:hAnsi="Arial" w:cs="Arial"/>
          <w:b/>
          <w:color w:val="000000"/>
          <w:lang w:eastAsia="es-ES"/>
        </w:rPr>
        <w:tab/>
      </w:r>
      <w:r w:rsidRPr="00D82903">
        <w:rPr>
          <w:rFonts w:ascii="Arial" w:eastAsia="Times New Roman" w:hAnsi="Arial" w:cs="Arial"/>
          <w:b/>
          <w:color w:val="000000"/>
          <w:lang w:eastAsia="es-ES"/>
        </w:rPr>
        <w:tab/>
      </w:r>
      <w:r>
        <w:rPr>
          <w:rFonts w:ascii="Arial" w:eastAsia="Times New Roman" w:hAnsi="Arial" w:cs="Arial"/>
          <w:b/>
          <w:color w:val="000000"/>
          <w:lang w:eastAsia="es-ES"/>
        </w:rPr>
        <w:tab/>
      </w:r>
      <w:r w:rsidRPr="00D82903">
        <w:rPr>
          <w:rFonts w:ascii="Arial" w:eastAsia="Times New Roman" w:hAnsi="Arial" w:cs="Arial"/>
          <w:b/>
          <w:color w:val="000000"/>
          <w:lang w:eastAsia="es-ES"/>
        </w:rPr>
        <w:t xml:space="preserve">RAFAEL EDUARDO PALAU SALAZAR </w:t>
      </w:r>
    </w:p>
    <w:p w:rsidR="00D82903" w:rsidRPr="00D82903" w:rsidRDefault="00D82903" w:rsidP="00D82903">
      <w:pPr>
        <w:pStyle w:val="Sinespaciado"/>
        <w:jc w:val="both"/>
        <w:rPr>
          <w:rFonts w:ascii="Arial" w:hAnsi="Arial" w:cs="Arial"/>
        </w:rPr>
      </w:pPr>
      <w:r w:rsidRPr="00D82903">
        <w:rPr>
          <w:rFonts w:ascii="Arial" w:hAnsi="Arial" w:cs="Arial"/>
        </w:rPr>
        <w:t xml:space="preserve">Representante a la Cámara </w:t>
      </w:r>
      <w:r w:rsidRPr="00D82903">
        <w:rPr>
          <w:rFonts w:ascii="Arial" w:hAnsi="Arial" w:cs="Arial"/>
        </w:rPr>
        <w:tab/>
      </w:r>
      <w:r w:rsidRPr="00D82903">
        <w:rPr>
          <w:rFonts w:ascii="Arial" w:hAnsi="Arial" w:cs="Arial"/>
        </w:rPr>
        <w:tab/>
      </w:r>
      <w:r w:rsidRPr="00D82903">
        <w:rPr>
          <w:rFonts w:ascii="Arial" w:hAnsi="Arial" w:cs="Arial"/>
        </w:rPr>
        <w:tab/>
      </w:r>
      <w:r>
        <w:rPr>
          <w:rFonts w:ascii="Arial" w:hAnsi="Arial" w:cs="Arial"/>
        </w:rPr>
        <w:tab/>
      </w:r>
      <w:r w:rsidRPr="00D82903">
        <w:rPr>
          <w:rFonts w:ascii="Arial" w:hAnsi="Arial" w:cs="Arial"/>
        </w:rPr>
        <w:t xml:space="preserve">Representante a la Cámara </w:t>
      </w:r>
    </w:p>
    <w:p w:rsidR="00D82903" w:rsidRPr="00D82903" w:rsidRDefault="00D82903" w:rsidP="00D82903">
      <w:pPr>
        <w:pStyle w:val="Sinespaciado"/>
        <w:jc w:val="both"/>
        <w:rPr>
          <w:rFonts w:ascii="Arial" w:hAnsi="Arial" w:cs="Arial"/>
        </w:rPr>
      </w:pPr>
      <w:r w:rsidRPr="00D82903">
        <w:rPr>
          <w:rFonts w:ascii="Arial" w:hAnsi="Arial" w:cs="Arial"/>
        </w:rPr>
        <w:t>Ponente</w:t>
      </w:r>
      <w:r w:rsidRPr="00D82903">
        <w:rPr>
          <w:rFonts w:ascii="Arial" w:hAnsi="Arial" w:cs="Arial"/>
        </w:rPr>
        <w:tab/>
      </w:r>
      <w:r w:rsidRPr="00D82903">
        <w:rPr>
          <w:rFonts w:ascii="Arial" w:hAnsi="Arial" w:cs="Arial"/>
        </w:rPr>
        <w:tab/>
      </w:r>
      <w:r w:rsidRPr="00D82903">
        <w:rPr>
          <w:rFonts w:ascii="Arial" w:hAnsi="Arial" w:cs="Arial"/>
        </w:rPr>
        <w:tab/>
      </w:r>
      <w:r w:rsidRPr="00D82903">
        <w:rPr>
          <w:rFonts w:ascii="Arial" w:hAnsi="Arial" w:cs="Arial"/>
        </w:rPr>
        <w:tab/>
      </w:r>
      <w:r w:rsidRPr="00D82903">
        <w:rPr>
          <w:rFonts w:ascii="Arial" w:hAnsi="Arial" w:cs="Arial"/>
        </w:rPr>
        <w:tab/>
      </w:r>
      <w:r>
        <w:rPr>
          <w:rFonts w:ascii="Arial" w:hAnsi="Arial" w:cs="Arial"/>
        </w:rPr>
        <w:tab/>
      </w:r>
      <w:r w:rsidRPr="00D82903">
        <w:rPr>
          <w:rFonts w:ascii="Arial" w:hAnsi="Arial" w:cs="Arial"/>
        </w:rPr>
        <w:t>Ponente</w:t>
      </w:r>
    </w:p>
    <w:p w:rsidR="00D82903" w:rsidRPr="00D82903" w:rsidRDefault="00D82903" w:rsidP="00D82903">
      <w:pPr>
        <w:pStyle w:val="Sinespaciado"/>
        <w:jc w:val="both"/>
        <w:rPr>
          <w:rFonts w:ascii="Arial" w:eastAsia="Times New Roman" w:hAnsi="Arial" w:cs="Arial"/>
          <w:color w:val="000000"/>
          <w:lang w:eastAsia="es-ES"/>
        </w:rPr>
      </w:pPr>
    </w:p>
    <w:p w:rsidR="00D82903" w:rsidRPr="00D82903" w:rsidRDefault="00D82903" w:rsidP="00D82903">
      <w:pPr>
        <w:pStyle w:val="Sinespaciado"/>
        <w:jc w:val="both"/>
        <w:rPr>
          <w:rFonts w:ascii="Arial" w:eastAsia="Times New Roman" w:hAnsi="Arial" w:cs="Arial"/>
          <w:color w:val="000000"/>
          <w:lang w:eastAsia="es-ES"/>
        </w:rPr>
      </w:pPr>
    </w:p>
    <w:p w:rsidR="00D82903" w:rsidRPr="00D82903" w:rsidRDefault="00D82903" w:rsidP="00D82903">
      <w:pPr>
        <w:pStyle w:val="Sinespaciado"/>
        <w:jc w:val="both"/>
        <w:rPr>
          <w:rFonts w:ascii="Arial" w:eastAsia="Times New Roman" w:hAnsi="Arial" w:cs="Arial"/>
          <w:color w:val="000000"/>
          <w:lang w:eastAsia="es-ES"/>
        </w:rPr>
      </w:pPr>
    </w:p>
    <w:p w:rsidR="00D82903" w:rsidRPr="00D82903" w:rsidRDefault="00D82903" w:rsidP="00D82903">
      <w:pPr>
        <w:pStyle w:val="Sinespaciado"/>
        <w:jc w:val="both"/>
        <w:rPr>
          <w:rFonts w:ascii="Arial" w:eastAsia="Times New Roman" w:hAnsi="Arial" w:cs="Arial"/>
          <w:color w:val="000000"/>
          <w:lang w:eastAsia="es-ES"/>
        </w:rPr>
      </w:pPr>
    </w:p>
    <w:p w:rsidR="00D82903" w:rsidRPr="00D82903" w:rsidRDefault="00D82903" w:rsidP="00D82903">
      <w:pPr>
        <w:pStyle w:val="Sinespaciado"/>
        <w:jc w:val="both"/>
        <w:rPr>
          <w:rFonts w:ascii="Arial" w:eastAsia="Times New Roman" w:hAnsi="Arial" w:cs="Arial"/>
          <w:b/>
          <w:color w:val="000000"/>
          <w:lang w:eastAsia="es-ES"/>
        </w:rPr>
      </w:pPr>
      <w:r w:rsidRPr="00D82903">
        <w:rPr>
          <w:rFonts w:ascii="Arial" w:eastAsia="Times New Roman" w:hAnsi="Arial" w:cs="Arial"/>
          <w:b/>
          <w:color w:val="000000"/>
          <w:lang w:eastAsia="es-ES"/>
        </w:rPr>
        <w:t xml:space="preserve">EDGAR ALFONSO GÓMEZ ROMÁN </w:t>
      </w:r>
      <w:r w:rsidRPr="00D82903">
        <w:rPr>
          <w:rFonts w:ascii="Arial" w:eastAsia="Times New Roman" w:hAnsi="Arial" w:cs="Arial"/>
          <w:b/>
          <w:color w:val="000000"/>
          <w:lang w:eastAsia="es-ES"/>
        </w:rPr>
        <w:tab/>
      </w:r>
      <w:r w:rsidRPr="00D82903">
        <w:rPr>
          <w:rFonts w:ascii="Arial" w:eastAsia="Times New Roman" w:hAnsi="Arial" w:cs="Arial"/>
          <w:b/>
          <w:color w:val="000000"/>
          <w:lang w:eastAsia="es-ES"/>
        </w:rPr>
        <w:tab/>
      </w:r>
      <w:r w:rsidRPr="00D82903">
        <w:rPr>
          <w:rFonts w:ascii="Arial" w:eastAsia="Times New Roman" w:hAnsi="Arial" w:cs="Arial"/>
          <w:b/>
          <w:color w:val="000000"/>
          <w:lang w:eastAsia="es-ES"/>
        </w:rPr>
        <w:t xml:space="preserve">ESPERANZA MARÍA PINZÓN DE JIMÉNEZ </w:t>
      </w:r>
    </w:p>
    <w:p w:rsidR="00D82903" w:rsidRPr="00D82903" w:rsidRDefault="00D82903" w:rsidP="00D82903">
      <w:pPr>
        <w:pStyle w:val="Sinespaciado"/>
        <w:jc w:val="both"/>
        <w:rPr>
          <w:rFonts w:ascii="Arial" w:hAnsi="Arial" w:cs="Arial"/>
        </w:rPr>
      </w:pPr>
      <w:r w:rsidRPr="00D82903">
        <w:rPr>
          <w:rFonts w:ascii="Arial" w:hAnsi="Arial" w:cs="Arial"/>
        </w:rPr>
        <w:t xml:space="preserve">Representante a la Cámara </w:t>
      </w:r>
      <w:r w:rsidRPr="00D82903">
        <w:rPr>
          <w:rFonts w:ascii="Arial" w:hAnsi="Arial" w:cs="Arial"/>
        </w:rPr>
        <w:tab/>
      </w:r>
      <w:r w:rsidRPr="00D82903">
        <w:rPr>
          <w:rFonts w:ascii="Arial" w:hAnsi="Arial" w:cs="Arial"/>
        </w:rPr>
        <w:tab/>
      </w:r>
      <w:r w:rsidRPr="00D82903">
        <w:rPr>
          <w:rFonts w:ascii="Arial" w:hAnsi="Arial" w:cs="Arial"/>
        </w:rPr>
        <w:tab/>
      </w:r>
      <w:r>
        <w:rPr>
          <w:rFonts w:ascii="Arial" w:hAnsi="Arial" w:cs="Arial"/>
        </w:rPr>
        <w:tab/>
      </w:r>
      <w:r w:rsidRPr="00D82903">
        <w:rPr>
          <w:rFonts w:ascii="Arial" w:hAnsi="Arial" w:cs="Arial"/>
        </w:rPr>
        <w:t xml:space="preserve">Representante a la Cámara </w:t>
      </w:r>
    </w:p>
    <w:p w:rsidR="00994041" w:rsidRPr="00A21495" w:rsidRDefault="00D82903" w:rsidP="00A21495">
      <w:pPr>
        <w:pStyle w:val="Sinespaciado"/>
        <w:jc w:val="both"/>
        <w:rPr>
          <w:rFonts w:eastAsia="Times New Roman"/>
          <w:color w:val="000000"/>
          <w:lang w:eastAsia="es-ES"/>
        </w:rPr>
      </w:pPr>
      <w:r w:rsidRPr="00D82903">
        <w:rPr>
          <w:rFonts w:ascii="Arial" w:hAnsi="Arial" w:cs="Arial"/>
        </w:rPr>
        <w:t>Ponente</w:t>
      </w:r>
      <w:r w:rsidRPr="00D82903">
        <w:rPr>
          <w:rFonts w:ascii="Arial" w:hAnsi="Arial" w:cs="Arial"/>
        </w:rPr>
        <w:tab/>
      </w:r>
      <w:r w:rsidRPr="00D82903">
        <w:rPr>
          <w:rFonts w:ascii="Arial" w:hAnsi="Arial" w:cs="Arial"/>
        </w:rPr>
        <w:tab/>
      </w:r>
      <w:r w:rsidRPr="00D82903">
        <w:rPr>
          <w:rFonts w:ascii="Arial" w:hAnsi="Arial" w:cs="Arial"/>
        </w:rPr>
        <w:tab/>
      </w:r>
      <w:r w:rsidRPr="00D82903">
        <w:rPr>
          <w:rFonts w:ascii="Arial" w:hAnsi="Arial" w:cs="Arial"/>
        </w:rPr>
        <w:tab/>
      </w:r>
      <w:r w:rsidRPr="00D82903">
        <w:rPr>
          <w:rFonts w:ascii="Arial" w:hAnsi="Arial" w:cs="Arial"/>
        </w:rPr>
        <w:tab/>
      </w:r>
      <w:r>
        <w:rPr>
          <w:rFonts w:ascii="Arial" w:hAnsi="Arial" w:cs="Arial"/>
        </w:rPr>
        <w:tab/>
      </w:r>
      <w:r w:rsidRPr="00D82903">
        <w:rPr>
          <w:rFonts w:ascii="Arial" w:hAnsi="Arial" w:cs="Arial"/>
        </w:rPr>
        <w:t>Ponente</w:t>
      </w:r>
    </w:p>
    <w:sectPr w:rsidR="00994041" w:rsidRPr="00A21495" w:rsidSect="00A21495">
      <w:headerReference w:type="default" r:id="rId8"/>
      <w:footerReference w:type="default" r:id="rId9"/>
      <w:pgSz w:w="12240" w:h="15840" w:code="1"/>
      <w:pgMar w:top="2098" w:right="1021" w:bottom="0" w:left="158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9F8" w:rsidRDefault="009E19F8" w:rsidP="001A75AA">
      <w:pPr>
        <w:spacing w:after="0" w:line="240" w:lineRule="auto"/>
      </w:pPr>
      <w:r>
        <w:separator/>
      </w:r>
    </w:p>
  </w:endnote>
  <w:endnote w:type="continuationSeparator" w:id="0">
    <w:p w:rsidR="009E19F8" w:rsidRDefault="009E19F8"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9F8" w:rsidRDefault="009E19F8" w:rsidP="001A75AA">
      <w:pPr>
        <w:spacing w:after="0" w:line="240" w:lineRule="auto"/>
      </w:pPr>
      <w:r>
        <w:separator/>
      </w:r>
    </w:p>
  </w:footnote>
  <w:footnote w:type="continuationSeparator" w:id="0">
    <w:p w:rsidR="009E19F8" w:rsidRDefault="009E19F8"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column">
            <wp:posOffset>1920240</wp:posOffset>
          </wp:positionH>
          <wp:positionV relativeFrom="paragraph">
            <wp:posOffset>-116205</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12D39"/>
    <w:multiLevelType w:val="hybridMultilevel"/>
    <w:tmpl w:val="DA2C8D8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3333A7A"/>
    <w:multiLevelType w:val="hybridMultilevel"/>
    <w:tmpl w:val="4B8A46E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57D595A"/>
    <w:multiLevelType w:val="hybridMultilevel"/>
    <w:tmpl w:val="EB18BC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AC41398"/>
    <w:multiLevelType w:val="hybridMultilevel"/>
    <w:tmpl w:val="0902CED0"/>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6E10ED"/>
    <w:multiLevelType w:val="hybridMultilevel"/>
    <w:tmpl w:val="B0BCB8D6"/>
    <w:lvl w:ilvl="0" w:tplc="240A0017">
      <w:start w:val="1"/>
      <w:numFmt w:val="lowerLetter"/>
      <w:lvlText w:val="%1)"/>
      <w:lvlJc w:val="left"/>
      <w:pPr>
        <w:ind w:left="778" w:hanging="360"/>
      </w:pPr>
    </w:lvl>
    <w:lvl w:ilvl="1" w:tplc="240A0019">
      <w:start w:val="1"/>
      <w:numFmt w:val="lowerLetter"/>
      <w:lvlText w:val="%2."/>
      <w:lvlJc w:val="left"/>
      <w:pPr>
        <w:ind w:left="1498" w:hanging="360"/>
      </w:pPr>
    </w:lvl>
    <w:lvl w:ilvl="2" w:tplc="240A001B">
      <w:start w:val="1"/>
      <w:numFmt w:val="lowerRoman"/>
      <w:lvlText w:val="%3."/>
      <w:lvlJc w:val="right"/>
      <w:pPr>
        <w:ind w:left="2218" w:hanging="180"/>
      </w:pPr>
    </w:lvl>
    <w:lvl w:ilvl="3" w:tplc="240A000F">
      <w:start w:val="1"/>
      <w:numFmt w:val="decimal"/>
      <w:lvlText w:val="%4."/>
      <w:lvlJc w:val="left"/>
      <w:pPr>
        <w:ind w:left="2938" w:hanging="360"/>
      </w:pPr>
    </w:lvl>
    <w:lvl w:ilvl="4" w:tplc="240A0019">
      <w:start w:val="1"/>
      <w:numFmt w:val="lowerLetter"/>
      <w:lvlText w:val="%5."/>
      <w:lvlJc w:val="left"/>
      <w:pPr>
        <w:ind w:left="3658" w:hanging="360"/>
      </w:pPr>
    </w:lvl>
    <w:lvl w:ilvl="5" w:tplc="240A001B">
      <w:start w:val="1"/>
      <w:numFmt w:val="lowerRoman"/>
      <w:lvlText w:val="%6."/>
      <w:lvlJc w:val="right"/>
      <w:pPr>
        <w:ind w:left="4378" w:hanging="180"/>
      </w:pPr>
    </w:lvl>
    <w:lvl w:ilvl="6" w:tplc="240A000F">
      <w:start w:val="1"/>
      <w:numFmt w:val="decimal"/>
      <w:lvlText w:val="%7."/>
      <w:lvlJc w:val="left"/>
      <w:pPr>
        <w:ind w:left="5098" w:hanging="360"/>
      </w:pPr>
    </w:lvl>
    <w:lvl w:ilvl="7" w:tplc="240A0019">
      <w:start w:val="1"/>
      <w:numFmt w:val="lowerLetter"/>
      <w:lvlText w:val="%8."/>
      <w:lvlJc w:val="left"/>
      <w:pPr>
        <w:ind w:left="5818" w:hanging="360"/>
      </w:pPr>
    </w:lvl>
    <w:lvl w:ilvl="8" w:tplc="240A001B">
      <w:start w:val="1"/>
      <w:numFmt w:val="lowerRoman"/>
      <w:lvlText w:val="%9."/>
      <w:lvlJc w:val="right"/>
      <w:pPr>
        <w:ind w:left="6538" w:hanging="180"/>
      </w:pPr>
    </w:lvl>
  </w:abstractNum>
  <w:abstractNum w:abstractNumId="19"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0" w15:restartNumberingAfterBreak="0">
    <w:nsid w:val="52A424DD"/>
    <w:multiLevelType w:val="hybridMultilevel"/>
    <w:tmpl w:val="A9E06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B4065C0"/>
    <w:multiLevelType w:val="hybridMultilevel"/>
    <w:tmpl w:val="639E0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E634C10"/>
    <w:multiLevelType w:val="hybridMultilevel"/>
    <w:tmpl w:val="654C9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0FA18A6"/>
    <w:multiLevelType w:val="hybridMultilevel"/>
    <w:tmpl w:val="7A9ADC1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FB11655"/>
    <w:multiLevelType w:val="hybridMultilevel"/>
    <w:tmpl w:val="4A147A3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4"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225422"/>
    <w:multiLevelType w:val="hybridMultilevel"/>
    <w:tmpl w:val="E7AC6DEE"/>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C9B1821"/>
    <w:multiLevelType w:val="hybridMultilevel"/>
    <w:tmpl w:val="9A0432C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D1033FF"/>
    <w:multiLevelType w:val="hybridMultilevel"/>
    <w:tmpl w:val="E32822D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33"/>
  </w:num>
  <w:num w:numId="3">
    <w:abstractNumId w:val="34"/>
  </w:num>
  <w:num w:numId="4">
    <w:abstractNumId w:val="37"/>
  </w:num>
  <w:num w:numId="5">
    <w:abstractNumId w:val="13"/>
  </w:num>
  <w:num w:numId="6">
    <w:abstractNumId w:val="27"/>
  </w:num>
  <w:num w:numId="7">
    <w:abstractNumId w:val="22"/>
  </w:num>
  <w:num w:numId="8">
    <w:abstractNumId w:val="42"/>
  </w:num>
  <w:num w:numId="9">
    <w:abstractNumId w:val="30"/>
  </w:num>
  <w:num w:numId="10">
    <w:abstractNumId w:val="43"/>
  </w:num>
  <w:num w:numId="11">
    <w:abstractNumId w:val="10"/>
  </w:num>
  <w:num w:numId="12">
    <w:abstractNumId w:val="12"/>
  </w:num>
  <w:num w:numId="13">
    <w:abstractNumId w:val="6"/>
  </w:num>
  <w:num w:numId="14">
    <w:abstractNumId w:val="38"/>
  </w:num>
  <w:num w:numId="15">
    <w:abstractNumId w:val="3"/>
  </w:num>
  <w:num w:numId="16">
    <w:abstractNumId w:val="28"/>
  </w:num>
  <w:num w:numId="17">
    <w:abstractNumId w:val="2"/>
  </w:num>
  <w:num w:numId="18">
    <w:abstractNumId w:val="15"/>
  </w:num>
  <w:num w:numId="19">
    <w:abstractNumId w:val="8"/>
  </w:num>
  <w:num w:numId="20">
    <w:abstractNumId w:val="21"/>
  </w:num>
  <w:num w:numId="21">
    <w:abstractNumId w:val="16"/>
  </w:num>
  <w:num w:numId="22">
    <w:abstractNumId w:val="14"/>
  </w:num>
  <w:num w:numId="23">
    <w:abstractNumId w:val="31"/>
  </w:num>
  <w:num w:numId="24">
    <w:abstractNumId w:val="29"/>
  </w:num>
  <w:num w:numId="25">
    <w:abstractNumId w:val="40"/>
  </w:num>
  <w:num w:numId="26">
    <w:abstractNumId w:val="19"/>
  </w:num>
  <w:num w:numId="27">
    <w:abstractNumId w:val="35"/>
  </w:num>
  <w:num w:numId="28">
    <w:abstractNumId w:val="4"/>
  </w:num>
  <w:num w:numId="29">
    <w:abstractNumId w:val="9"/>
  </w:num>
  <w:num w:numId="30">
    <w:abstractNumId w:val="23"/>
  </w:num>
  <w:num w:numId="31">
    <w:abstractNumId w:val="0"/>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1"/>
  </w:num>
  <w:num w:numId="36">
    <w:abstractNumId w:val="17"/>
  </w:num>
  <w:num w:numId="37">
    <w:abstractNumId w:val="20"/>
  </w:num>
  <w:num w:numId="38">
    <w:abstractNumId w:val="25"/>
  </w:num>
  <w:num w:numId="39">
    <w:abstractNumId w:val="41"/>
  </w:num>
  <w:num w:numId="40">
    <w:abstractNumId w:val="1"/>
  </w:num>
  <w:num w:numId="41">
    <w:abstractNumId w:val="36"/>
  </w:num>
  <w:num w:numId="42">
    <w:abstractNumId w:val="24"/>
  </w:num>
  <w:num w:numId="43">
    <w:abstractNumId w:val="32"/>
  </w:num>
  <w:num w:numId="44">
    <w:abstractNumId w:val="39"/>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58D4"/>
    <w:rsid w:val="000971B7"/>
    <w:rsid w:val="000A3D97"/>
    <w:rsid w:val="000B047D"/>
    <w:rsid w:val="000B41A9"/>
    <w:rsid w:val="000B7E47"/>
    <w:rsid w:val="000C69AC"/>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365"/>
    <w:rsid w:val="001E27BF"/>
    <w:rsid w:val="00200519"/>
    <w:rsid w:val="00201497"/>
    <w:rsid w:val="00203ACE"/>
    <w:rsid w:val="002119E3"/>
    <w:rsid w:val="002126FF"/>
    <w:rsid w:val="0021331D"/>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95486"/>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91812"/>
    <w:rsid w:val="003A01C5"/>
    <w:rsid w:val="003A26FB"/>
    <w:rsid w:val="003A4DEC"/>
    <w:rsid w:val="003A6AE5"/>
    <w:rsid w:val="003B0F5C"/>
    <w:rsid w:val="003B2C8F"/>
    <w:rsid w:val="003B3EBB"/>
    <w:rsid w:val="003B50C1"/>
    <w:rsid w:val="003C0DF5"/>
    <w:rsid w:val="003C2A93"/>
    <w:rsid w:val="003C3E07"/>
    <w:rsid w:val="003D161F"/>
    <w:rsid w:val="003D3D21"/>
    <w:rsid w:val="003D7516"/>
    <w:rsid w:val="003D7EC1"/>
    <w:rsid w:val="003E193F"/>
    <w:rsid w:val="003E215A"/>
    <w:rsid w:val="003E3BD9"/>
    <w:rsid w:val="003E4343"/>
    <w:rsid w:val="003F0BA6"/>
    <w:rsid w:val="003F262C"/>
    <w:rsid w:val="003F538E"/>
    <w:rsid w:val="00400978"/>
    <w:rsid w:val="00403495"/>
    <w:rsid w:val="0040798F"/>
    <w:rsid w:val="004120FE"/>
    <w:rsid w:val="00414583"/>
    <w:rsid w:val="004201B0"/>
    <w:rsid w:val="004239FC"/>
    <w:rsid w:val="00427AA0"/>
    <w:rsid w:val="00434121"/>
    <w:rsid w:val="00434D29"/>
    <w:rsid w:val="0043534F"/>
    <w:rsid w:val="004369F9"/>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114C"/>
    <w:rsid w:val="00484FBF"/>
    <w:rsid w:val="0048518F"/>
    <w:rsid w:val="00487799"/>
    <w:rsid w:val="00494A18"/>
    <w:rsid w:val="004A1D04"/>
    <w:rsid w:val="004A2006"/>
    <w:rsid w:val="004A4C6F"/>
    <w:rsid w:val="004B1160"/>
    <w:rsid w:val="004B4719"/>
    <w:rsid w:val="004B47F9"/>
    <w:rsid w:val="004B7885"/>
    <w:rsid w:val="004C3501"/>
    <w:rsid w:val="004E04C3"/>
    <w:rsid w:val="004E674B"/>
    <w:rsid w:val="004E71FD"/>
    <w:rsid w:val="004F1CE6"/>
    <w:rsid w:val="004F215A"/>
    <w:rsid w:val="004F4B33"/>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6F17"/>
    <w:rsid w:val="00566078"/>
    <w:rsid w:val="00566ED4"/>
    <w:rsid w:val="00570637"/>
    <w:rsid w:val="00571058"/>
    <w:rsid w:val="00580751"/>
    <w:rsid w:val="005835FD"/>
    <w:rsid w:val="00583B23"/>
    <w:rsid w:val="00586945"/>
    <w:rsid w:val="00587D45"/>
    <w:rsid w:val="00594EE6"/>
    <w:rsid w:val="00595842"/>
    <w:rsid w:val="00597777"/>
    <w:rsid w:val="005B29EB"/>
    <w:rsid w:val="005C0101"/>
    <w:rsid w:val="005C265D"/>
    <w:rsid w:val="005C46B5"/>
    <w:rsid w:val="005C6DC9"/>
    <w:rsid w:val="005D3575"/>
    <w:rsid w:val="005D4E38"/>
    <w:rsid w:val="005E12DE"/>
    <w:rsid w:val="005E46E7"/>
    <w:rsid w:val="005F2C9B"/>
    <w:rsid w:val="0061264E"/>
    <w:rsid w:val="00613B02"/>
    <w:rsid w:val="00622B3F"/>
    <w:rsid w:val="00622B74"/>
    <w:rsid w:val="006276D2"/>
    <w:rsid w:val="0063155D"/>
    <w:rsid w:val="00637559"/>
    <w:rsid w:val="00645C61"/>
    <w:rsid w:val="00670DED"/>
    <w:rsid w:val="00671BC3"/>
    <w:rsid w:val="0067641B"/>
    <w:rsid w:val="00677FDE"/>
    <w:rsid w:val="00681AE7"/>
    <w:rsid w:val="00681C48"/>
    <w:rsid w:val="006842D0"/>
    <w:rsid w:val="006846A0"/>
    <w:rsid w:val="006904B4"/>
    <w:rsid w:val="00695983"/>
    <w:rsid w:val="006A06BA"/>
    <w:rsid w:val="006A0D57"/>
    <w:rsid w:val="006B2B87"/>
    <w:rsid w:val="006B40AC"/>
    <w:rsid w:val="006B757E"/>
    <w:rsid w:val="006C2A67"/>
    <w:rsid w:val="006C302E"/>
    <w:rsid w:val="006C370B"/>
    <w:rsid w:val="006D20DB"/>
    <w:rsid w:val="006D3C55"/>
    <w:rsid w:val="006E177A"/>
    <w:rsid w:val="006E1D47"/>
    <w:rsid w:val="006E441E"/>
    <w:rsid w:val="006F021B"/>
    <w:rsid w:val="006F38A8"/>
    <w:rsid w:val="006F61AF"/>
    <w:rsid w:val="00713DC0"/>
    <w:rsid w:val="00716397"/>
    <w:rsid w:val="007167A5"/>
    <w:rsid w:val="00720ABC"/>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D2527"/>
    <w:rsid w:val="007D43C4"/>
    <w:rsid w:val="007D582E"/>
    <w:rsid w:val="007E024C"/>
    <w:rsid w:val="007E0D32"/>
    <w:rsid w:val="007F0C2F"/>
    <w:rsid w:val="007F223F"/>
    <w:rsid w:val="007F2A05"/>
    <w:rsid w:val="0080478F"/>
    <w:rsid w:val="008054C2"/>
    <w:rsid w:val="00807628"/>
    <w:rsid w:val="00813DA1"/>
    <w:rsid w:val="008255F9"/>
    <w:rsid w:val="00830953"/>
    <w:rsid w:val="00832188"/>
    <w:rsid w:val="00832CEA"/>
    <w:rsid w:val="0084327F"/>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2522"/>
    <w:rsid w:val="008F4264"/>
    <w:rsid w:val="008F4687"/>
    <w:rsid w:val="00900E3B"/>
    <w:rsid w:val="009120F5"/>
    <w:rsid w:val="0092131B"/>
    <w:rsid w:val="0092191E"/>
    <w:rsid w:val="00923085"/>
    <w:rsid w:val="00925C03"/>
    <w:rsid w:val="009277E9"/>
    <w:rsid w:val="00931867"/>
    <w:rsid w:val="00935879"/>
    <w:rsid w:val="00940610"/>
    <w:rsid w:val="00945341"/>
    <w:rsid w:val="00963451"/>
    <w:rsid w:val="00963D5C"/>
    <w:rsid w:val="00967BA7"/>
    <w:rsid w:val="009711F9"/>
    <w:rsid w:val="00972DF0"/>
    <w:rsid w:val="00976AEB"/>
    <w:rsid w:val="00977842"/>
    <w:rsid w:val="00981CC9"/>
    <w:rsid w:val="0098219B"/>
    <w:rsid w:val="009828E1"/>
    <w:rsid w:val="009854E8"/>
    <w:rsid w:val="00985E6B"/>
    <w:rsid w:val="00994041"/>
    <w:rsid w:val="009A0AAB"/>
    <w:rsid w:val="009A3159"/>
    <w:rsid w:val="009B3E43"/>
    <w:rsid w:val="009C1657"/>
    <w:rsid w:val="009C42ED"/>
    <w:rsid w:val="009C714F"/>
    <w:rsid w:val="009C7782"/>
    <w:rsid w:val="009D3CE0"/>
    <w:rsid w:val="009D422E"/>
    <w:rsid w:val="009D43DE"/>
    <w:rsid w:val="009D6D67"/>
    <w:rsid w:val="009E19F8"/>
    <w:rsid w:val="009E52D9"/>
    <w:rsid w:val="009F068A"/>
    <w:rsid w:val="009F2514"/>
    <w:rsid w:val="009F7BF3"/>
    <w:rsid w:val="00A05691"/>
    <w:rsid w:val="00A20232"/>
    <w:rsid w:val="00A20FB3"/>
    <w:rsid w:val="00A21495"/>
    <w:rsid w:val="00A223A5"/>
    <w:rsid w:val="00A24B2C"/>
    <w:rsid w:val="00A26683"/>
    <w:rsid w:val="00A32626"/>
    <w:rsid w:val="00A3797C"/>
    <w:rsid w:val="00A466E2"/>
    <w:rsid w:val="00A4736E"/>
    <w:rsid w:val="00A52153"/>
    <w:rsid w:val="00A5385F"/>
    <w:rsid w:val="00A55B53"/>
    <w:rsid w:val="00A63400"/>
    <w:rsid w:val="00A644EA"/>
    <w:rsid w:val="00A66C8B"/>
    <w:rsid w:val="00A739BC"/>
    <w:rsid w:val="00A74D8C"/>
    <w:rsid w:val="00A76565"/>
    <w:rsid w:val="00A769D4"/>
    <w:rsid w:val="00A76CEC"/>
    <w:rsid w:val="00A76ED5"/>
    <w:rsid w:val="00A908E5"/>
    <w:rsid w:val="00A92671"/>
    <w:rsid w:val="00A9451E"/>
    <w:rsid w:val="00AA3B73"/>
    <w:rsid w:val="00AB10D9"/>
    <w:rsid w:val="00AB4143"/>
    <w:rsid w:val="00AD580C"/>
    <w:rsid w:val="00AE5DE7"/>
    <w:rsid w:val="00AF3851"/>
    <w:rsid w:val="00AF6350"/>
    <w:rsid w:val="00B21427"/>
    <w:rsid w:val="00B22FF2"/>
    <w:rsid w:val="00B24137"/>
    <w:rsid w:val="00B241A5"/>
    <w:rsid w:val="00B275D0"/>
    <w:rsid w:val="00B36771"/>
    <w:rsid w:val="00B36A62"/>
    <w:rsid w:val="00B41782"/>
    <w:rsid w:val="00B4638B"/>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F1641"/>
    <w:rsid w:val="00CF69D0"/>
    <w:rsid w:val="00D00608"/>
    <w:rsid w:val="00D00F0A"/>
    <w:rsid w:val="00D02589"/>
    <w:rsid w:val="00D06144"/>
    <w:rsid w:val="00D131EF"/>
    <w:rsid w:val="00D13B38"/>
    <w:rsid w:val="00D16E2F"/>
    <w:rsid w:val="00D23344"/>
    <w:rsid w:val="00D241B3"/>
    <w:rsid w:val="00D328A2"/>
    <w:rsid w:val="00D332D3"/>
    <w:rsid w:val="00D47073"/>
    <w:rsid w:val="00D504C2"/>
    <w:rsid w:val="00D506F5"/>
    <w:rsid w:val="00D51DA8"/>
    <w:rsid w:val="00D56A38"/>
    <w:rsid w:val="00D67C41"/>
    <w:rsid w:val="00D7467B"/>
    <w:rsid w:val="00D761DD"/>
    <w:rsid w:val="00D8118C"/>
    <w:rsid w:val="00D81B26"/>
    <w:rsid w:val="00D82903"/>
    <w:rsid w:val="00D83320"/>
    <w:rsid w:val="00D83610"/>
    <w:rsid w:val="00D86E0C"/>
    <w:rsid w:val="00D9054F"/>
    <w:rsid w:val="00D94A44"/>
    <w:rsid w:val="00D97B31"/>
    <w:rsid w:val="00DA6203"/>
    <w:rsid w:val="00DB08FB"/>
    <w:rsid w:val="00DB1EC0"/>
    <w:rsid w:val="00DC1A7C"/>
    <w:rsid w:val="00DC2D05"/>
    <w:rsid w:val="00DD2204"/>
    <w:rsid w:val="00DD235F"/>
    <w:rsid w:val="00DD2F8B"/>
    <w:rsid w:val="00DD62CA"/>
    <w:rsid w:val="00DE4A3F"/>
    <w:rsid w:val="00DE5D05"/>
    <w:rsid w:val="00E020D5"/>
    <w:rsid w:val="00E05114"/>
    <w:rsid w:val="00E17403"/>
    <w:rsid w:val="00E42F28"/>
    <w:rsid w:val="00E47A08"/>
    <w:rsid w:val="00E501B8"/>
    <w:rsid w:val="00E53778"/>
    <w:rsid w:val="00E61324"/>
    <w:rsid w:val="00E62CF7"/>
    <w:rsid w:val="00E67E16"/>
    <w:rsid w:val="00E73DC8"/>
    <w:rsid w:val="00E77C5E"/>
    <w:rsid w:val="00E876CF"/>
    <w:rsid w:val="00E87FD1"/>
    <w:rsid w:val="00E927B9"/>
    <w:rsid w:val="00E9282E"/>
    <w:rsid w:val="00EA23F9"/>
    <w:rsid w:val="00EB1D35"/>
    <w:rsid w:val="00EB5061"/>
    <w:rsid w:val="00EB605F"/>
    <w:rsid w:val="00EC2167"/>
    <w:rsid w:val="00EC3150"/>
    <w:rsid w:val="00EC79A6"/>
    <w:rsid w:val="00EC79F7"/>
    <w:rsid w:val="00EC7E77"/>
    <w:rsid w:val="00ED138F"/>
    <w:rsid w:val="00ED3481"/>
    <w:rsid w:val="00EE4B54"/>
    <w:rsid w:val="00EE5220"/>
    <w:rsid w:val="00EE73BD"/>
    <w:rsid w:val="00EF3669"/>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6B2"/>
    <w:rsid w:val="00F318B7"/>
    <w:rsid w:val="00F33658"/>
    <w:rsid w:val="00F343C3"/>
    <w:rsid w:val="00F35BAC"/>
    <w:rsid w:val="00F36C59"/>
    <w:rsid w:val="00F4582E"/>
    <w:rsid w:val="00F53260"/>
    <w:rsid w:val="00F534FB"/>
    <w:rsid w:val="00F56B3B"/>
    <w:rsid w:val="00F570CD"/>
    <w:rsid w:val="00F67C6B"/>
    <w:rsid w:val="00F71BA2"/>
    <w:rsid w:val="00F71C27"/>
    <w:rsid w:val="00F72B35"/>
    <w:rsid w:val="00F87CE8"/>
    <w:rsid w:val="00FA4A39"/>
    <w:rsid w:val="00FB36DF"/>
    <w:rsid w:val="00FB61E4"/>
    <w:rsid w:val="00FD31EE"/>
    <w:rsid w:val="00FD378B"/>
    <w:rsid w:val="00FD3E3B"/>
    <w:rsid w:val="00FD4D9D"/>
    <w:rsid w:val="00FD5A94"/>
    <w:rsid w:val="00FE0837"/>
    <w:rsid w:val="00FE2780"/>
    <w:rsid w:val="00FE2D19"/>
    <w:rsid w:val="00FE3862"/>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99"/>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82EE2-B3A6-4B79-BCD0-FEF6C618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2517</Words>
  <Characters>13844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6</cp:revision>
  <cp:lastPrinted>2017-11-01T20:17:00Z</cp:lastPrinted>
  <dcterms:created xsi:type="dcterms:W3CDTF">2017-11-21T19:51:00Z</dcterms:created>
  <dcterms:modified xsi:type="dcterms:W3CDTF">2017-11-21T20:23:00Z</dcterms:modified>
</cp:coreProperties>
</file>